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513E6" w14:textId="5404ED21" w:rsidR="00106E89" w:rsidRDefault="00DE5234" w:rsidP="00106E89">
      <w:pPr>
        <w:spacing w:before="120" w:after="120" w:line="240" w:lineRule="auto"/>
        <w:rPr>
          <w:rFonts w:ascii="Lato" w:hAnsi="Lato" w:cs="Calibri"/>
          <w:b/>
        </w:rPr>
      </w:pPr>
      <w:r w:rsidRPr="00A41431">
        <w:rPr>
          <w:rFonts w:ascii="Lato" w:hAnsi="Lato" w:cs="Calibri"/>
          <w:b/>
        </w:rPr>
        <w:t xml:space="preserve">Załącznik nr </w:t>
      </w:r>
      <w:r w:rsidR="004944BF">
        <w:rPr>
          <w:rFonts w:ascii="Lato" w:hAnsi="Lato" w:cs="Calibri"/>
          <w:b/>
        </w:rPr>
        <w:t>9</w:t>
      </w:r>
      <w:r w:rsidRPr="00A41431">
        <w:rPr>
          <w:rFonts w:ascii="Lato" w:hAnsi="Lato" w:cs="Calibri"/>
          <w:b/>
        </w:rPr>
        <w:t xml:space="preserve"> do </w:t>
      </w:r>
      <w:r w:rsidR="000F40E1">
        <w:rPr>
          <w:rFonts w:ascii="Lato" w:hAnsi="Lato" w:cs="Calibri"/>
          <w:b/>
        </w:rPr>
        <w:t xml:space="preserve"> Umowy </w:t>
      </w:r>
      <w:r w:rsidR="00106E89" w:rsidRPr="00106E89">
        <w:rPr>
          <w:rFonts w:ascii="Lato" w:hAnsi="Lato" w:cs="Calibri"/>
          <w:b/>
        </w:rPr>
        <w:t xml:space="preserve">nr …… </w:t>
      </w:r>
      <w:r w:rsidR="00804E31">
        <w:rPr>
          <w:rFonts w:ascii="Lato" w:hAnsi="Lato" w:cs="Calibri"/>
          <w:b/>
        </w:rPr>
        <w:t>……</w:t>
      </w:r>
    </w:p>
    <w:p w14:paraId="15AAD101" w14:textId="658FE82E" w:rsidR="00EA7D51" w:rsidRDefault="00002F91" w:rsidP="00106E89">
      <w:pPr>
        <w:spacing w:before="120" w:after="120" w:line="240" w:lineRule="auto"/>
        <w:rPr>
          <w:rFonts w:ascii="Lato" w:hAnsi="Lato" w:cs="Calibri"/>
          <w:b/>
        </w:rPr>
      </w:pPr>
      <w:r w:rsidRPr="00E62D8E">
        <w:rPr>
          <w:rFonts w:ascii="Lato" w:hAnsi="Lato" w:cs="Arial"/>
          <w:color w:val="000000"/>
        </w:rPr>
        <w:t>Szczegółowe warunki uznania wydatków za kwalifikowalne</w:t>
      </w:r>
    </w:p>
    <w:p w14:paraId="225D003E" w14:textId="77777777" w:rsidR="00002F91" w:rsidRDefault="00002F91" w:rsidP="00106E89">
      <w:pPr>
        <w:spacing w:before="120" w:after="120" w:line="240" w:lineRule="auto"/>
        <w:rPr>
          <w:rFonts w:ascii="Lato" w:hAnsi="Lato" w:cs="Calibri"/>
          <w:b/>
        </w:rPr>
      </w:pPr>
    </w:p>
    <w:p w14:paraId="04062B76" w14:textId="025BABA4" w:rsidR="00736F6B" w:rsidRPr="00736F6B" w:rsidRDefault="00736F6B" w:rsidP="00736F6B">
      <w:pPr>
        <w:spacing w:after="0"/>
        <w:rPr>
          <w:rFonts w:ascii="Lato" w:hAnsi="Lato" w:cs="Arial"/>
          <w:b/>
          <w:bCs/>
        </w:rPr>
      </w:pPr>
      <w:bookmarkStart w:id="0" w:name="mip63676155"/>
      <w:bookmarkStart w:id="1" w:name="_Hlk163659930"/>
      <w:bookmarkEnd w:id="0"/>
      <w:r w:rsidRPr="00736F6B">
        <w:rPr>
          <w:rFonts w:ascii="Lato" w:hAnsi="Lato" w:cs="Arial"/>
          <w:b/>
          <w:bCs/>
        </w:rPr>
        <w:t xml:space="preserve">Katalog kosztów realizacji przedsięwzięcia </w:t>
      </w:r>
    </w:p>
    <w:p w14:paraId="6A62E557" w14:textId="3778340D" w:rsidR="00736F6B" w:rsidRDefault="00736F6B" w:rsidP="00736F6B">
      <w:pPr>
        <w:spacing w:after="0"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 xml:space="preserve">w zakresie </w:t>
      </w:r>
      <w:r w:rsidRPr="00CF2F3A">
        <w:rPr>
          <w:rFonts w:ascii="Lato" w:hAnsi="Lato"/>
          <w:i/>
          <w:iCs/>
          <w:sz w:val="20"/>
          <w:szCs w:val="20"/>
        </w:rPr>
        <w:t>M</w:t>
      </w:r>
      <w:r w:rsidRPr="00572BEB">
        <w:rPr>
          <w:rFonts w:ascii="Lato" w:hAnsi="Lato"/>
          <w:i/>
          <w:iCs/>
          <w:sz w:val="20"/>
          <w:szCs w:val="20"/>
        </w:rPr>
        <w:t>odernizacji i doposażenia obiektów dydaktycznych w związku ze zwiększeniem limitów przyjęć na studia medyczne</w:t>
      </w:r>
      <w:r w:rsidRPr="00CF2F3A">
        <w:rPr>
          <w:rFonts w:ascii="Lato" w:hAnsi="Lato"/>
          <w:sz w:val="20"/>
          <w:szCs w:val="20"/>
        </w:rPr>
        <w:t xml:space="preserve">. </w:t>
      </w:r>
    </w:p>
    <w:bookmarkEnd w:id="1"/>
    <w:p w14:paraId="6F0528D3" w14:textId="6CDC5E5C" w:rsidR="00736F6B" w:rsidRPr="00CF2F3A" w:rsidRDefault="00736F6B" w:rsidP="00736F6B">
      <w:pPr>
        <w:spacing w:after="0"/>
        <w:rPr>
          <w:rFonts w:ascii="Lato" w:hAnsi="Lato"/>
          <w:b/>
          <w:bCs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 xml:space="preserve">Katalog dotyczy Naboru </w:t>
      </w:r>
      <w:r w:rsidR="00CD4298">
        <w:rPr>
          <w:rFonts w:ascii="Lato" w:hAnsi="Lato"/>
          <w:sz w:val="20"/>
          <w:szCs w:val="20"/>
        </w:rPr>
        <w:t>3</w:t>
      </w:r>
      <w:r w:rsidRPr="00CF2F3A">
        <w:rPr>
          <w:rFonts w:ascii="Lato" w:hAnsi="Lato"/>
          <w:sz w:val="20"/>
          <w:szCs w:val="20"/>
        </w:rPr>
        <w:t xml:space="preserve"> w ramach wdrażania miernika D31G inwestycji D2.1.1 KPO.</w:t>
      </w:r>
    </w:p>
    <w:p w14:paraId="33FC07E9" w14:textId="77777777" w:rsidR="00736F6B" w:rsidRPr="00CF2F3A" w:rsidRDefault="00736F6B" w:rsidP="00736F6B">
      <w:pPr>
        <w:spacing w:after="0"/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</w:pPr>
    </w:p>
    <w:p w14:paraId="66C846CA" w14:textId="77777777" w:rsidR="00736F6B" w:rsidRDefault="00736F6B" w:rsidP="00736F6B">
      <w:pPr>
        <w:pStyle w:val="Akapitzlist"/>
        <w:numPr>
          <w:ilvl w:val="0"/>
          <w:numId w:val="62"/>
        </w:numPr>
        <w:spacing w:after="0" w:line="259" w:lineRule="auto"/>
        <w:contextualSpacing/>
        <w:rPr>
          <w:rFonts w:ascii="Lato" w:hAnsi="Lato"/>
          <w:b/>
          <w:bCs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Wydatki kwalifikowalne</w:t>
      </w:r>
    </w:p>
    <w:p w14:paraId="50854B85" w14:textId="77777777" w:rsidR="00EF6294" w:rsidRPr="00CF2F3A" w:rsidRDefault="00EF6294" w:rsidP="00EF6294">
      <w:pPr>
        <w:pStyle w:val="Akapitzlist"/>
        <w:spacing w:after="0" w:line="259" w:lineRule="auto"/>
        <w:ind w:left="360"/>
        <w:contextualSpacing/>
        <w:rPr>
          <w:rFonts w:ascii="Lato" w:hAnsi="Lato"/>
          <w:b/>
          <w:bCs/>
          <w:sz w:val="20"/>
          <w:szCs w:val="20"/>
        </w:rPr>
      </w:pPr>
    </w:p>
    <w:p w14:paraId="2C50A8B9" w14:textId="77777777" w:rsidR="00736F6B" w:rsidRPr="00CF2F3A" w:rsidRDefault="00736F6B" w:rsidP="00736F6B">
      <w:pPr>
        <w:pStyle w:val="Akapitzlist"/>
        <w:numPr>
          <w:ilvl w:val="0"/>
          <w:numId w:val="63"/>
        </w:numPr>
        <w:spacing w:after="0" w:line="259" w:lineRule="auto"/>
        <w:contextualSpacing/>
        <w:rPr>
          <w:rFonts w:ascii="Lato" w:hAnsi="Lato"/>
          <w:b/>
          <w:bCs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Rodzaje wydatków kwalifikowalnych</w:t>
      </w:r>
    </w:p>
    <w:p w14:paraId="2D6585EB" w14:textId="77C5B95E" w:rsidR="00736F6B" w:rsidRDefault="00736F6B" w:rsidP="00736F6B">
      <w:pPr>
        <w:spacing w:after="0"/>
        <w:ind w:left="360"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 xml:space="preserve">Ujęcie wydatków w ramach </w:t>
      </w:r>
      <w:r w:rsidRPr="003D7856">
        <w:rPr>
          <w:rFonts w:ascii="Lato" w:hAnsi="Lato"/>
          <w:sz w:val="20"/>
          <w:szCs w:val="20"/>
        </w:rPr>
        <w:t xml:space="preserve">poszczególnych </w:t>
      </w:r>
      <w:r w:rsidR="00572393" w:rsidRPr="003D7856">
        <w:rPr>
          <w:rFonts w:ascii="Lato" w:hAnsi="Lato"/>
          <w:sz w:val="20"/>
          <w:szCs w:val="20"/>
        </w:rPr>
        <w:t>projektów inwestycyjnych</w:t>
      </w:r>
      <w:r w:rsidRPr="00CF2F3A">
        <w:rPr>
          <w:rFonts w:ascii="Lato" w:hAnsi="Lato"/>
          <w:sz w:val="20"/>
          <w:szCs w:val="20"/>
        </w:rPr>
        <w:t xml:space="preserve"> </w:t>
      </w:r>
      <w:r w:rsidRPr="00520891">
        <w:rPr>
          <w:rFonts w:ascii="Lato" w:hAnsi="Lato"/>
          <w:sz w:val="20"/>
          <w:szCs w:val="20"/>
        </w:rPr>
        <w:t>opisanych w Planie rozwojowym uczelni</w:t>
      </w:r>
      <w:r w:rsidRPr="00CF2F3A">
        <w:rPr>
          <w:rFonts w:ascii="Lato" w:hAnsi="Lato"/>
          <w:sz w:val="20"/>
          <w:szCs w:val="20"/>
        </w:rPr>
        <w:t xml:space="preserve"> jest podstawą do ich zakwalifikowania w ramach składanego </w:t>
      </w:r>
      <w:r w:rsidR="00AA412E">
        <w:rPr>
          <w:rFonts w:ascii="Lato" w:hAnsi="Lato"/>
          <w:sz w:val="20"/>
          <w:szCs w:val="20"/>
        </w:rPr>
        <w:t>w</w:t>
      </w:r>
      <w:r w:rsidRPr="00CF2F3A">
        <w:rPr>
          <w:rFonts w:ascii="Lato" w:hAnsi="Lato"/>
          <w:sz w:val="20"/>
          <w:szCs w:val="20"/>
        </w:rPr>
        <w:t xml:space="preserve">niosku </w:t>
      </w:r>
      <w:r w:rsidR="00FA535A">
        <w:rPr>
          <w:rFonts w:ascii="Lato" w:hAnsi="Lato"/>
          <w:sz w:val="20"/>
          <w:szCs w:val="20"/>
        </w:rPr>
        <w:t xml:space="preserve">o </w:t>
      </w:r>
      <w:r w:rsidRPr="00CF2F3A">
        <w:rPr>
          <w:rFonts w:ascii="Lato" w:hAnsi="Lato"/>
          <w:sz w:val="20"/>
          <w:szCs w:val="20"/>
        </w:rPr>
        <w:t xml:space="preserve">objęcie przedsięwzięcia wsparciem. Rodzaje wydatków określone dla poszczególnych </w:t>
      </w:r>
      <w:r w:rsidR="00572393">
        <w:rPr>
          <w:rFonts w:ascii="Lato" w:hAnsi="Lato"/>
          <w:sz w:val="20"/>
          <w:szCs w:val="20"/>
        </w:rPr>
        <w:t>projektów inwestycyjnych</w:t>
      </w:r>
      <w:r w:rsidR="00572393" w:rsidRPr="00CF2F3A">
        <w:rPr>
          <w:rFonts w:ascii="Lato" w:hAnsi="Lato"/>
          <w:sz w:val="20"/>
          <w:szCs w:val="20"/>
        </w:rPr>
        <w:t xml:space="preserve"> </w:t>
      </w:r>
      <w:r w:rsidRPr="00CF2F3A">
        <w:rPr>
          <w:rFonts w:ascii="Lato" w:hAnsi="Lato"/>
          <w:sz w:val="20"/>
          <w:szCs w:val="20"/>
        </w:rPr>
        <w:t xml:space="preserve"> zostaną, w ramach </w:t>
      </w:r>
      <w:r w:rsidR="00AA412E">
        <w:rPr>
          <w:rFonts w:ascii="Lato" w:hAnsi="Lato"/>
          <w:sz w:val="20"/>
          <w:szCs w:val="20"/>
        </w:rPr>
        <w:t>w</w:t>
      </w:r>
      <w:r w:rsidRPr="00CF2F3A">
        <w:rPr>
          <w:rFonts w:ascii="Lato" w:hAnsi="Lato"/>
          <w:sz w:val="20"/>
          <w:szCs w:val="20"/>
        </w:rPr>
        <w:t xml:space="preserve">niosku o objęcie </w:t>
      </w:r>
      <w:r w:rsidR="00AA412E">
        <w:rPr>
          <w:rFonts w:ascii="Lato" w:hAnsi="Lato"/>
          <w:sz w:val="20"/>
          <w:szCs w:val="20"/>
        </w:rPr>
        <w:t xml:space="preserve">przedsięwzięcia </w:t>
      </w:r>
      <w:r w:rsidRPr="00CF2F3A">
        <w:rPr>
          <w:rFonts w:ascii="Lato" w:hAnsi="Lato"/>
          <w:sz w:val="20"/>
          <w:szCs w:val="20"/>
        </w:rPr>
        <w:t>wsparciem, przypisane do określonych kategorii kosztów kwalifikowalnych.</w:t>
      </w:r>
    </w:p>
    <w:p w14:paraId="0AF220F5" w14:textId="77777777" w:rsidR="00EF6294" w:rsidRPr="00CF2F3A" w:rsidRDefault="00EF6294" w:rsidP="00736F6B">
      <w:pPr>
        <w:spacing w:after="0"/>
        <w:ind w:left="360"/>
        <w:rPr>
          <w:rFonts w:ascii="Lato" w:hAnsi="Lato"/>
          <w:sz w:val="20"/>
          <w:szCs w:val="20"/>
        </w:rPr>
      </w:pPr>
    </w:p>
    <w:p w14:paraId="2ACF5181" w14:textId="77777777" w:rsidR="00736F6B" w:rsidRPr="00CF2F3A" w:rsidRDefault="00736F6B" w:rsidP="00736F6B">
      <w:pPr>
        <w:pStyle w:val="Akapitzlist"/>
        <w:numPr>
          <w:ilvl w:val="0"/>
          <w:numId w:val="63"/>
        </w:numPr>
        <w:spacing w:after="0" w:line="259" w:lineRule="auto"/>
        <w:contextualSpacing/>
        <w:rPr>
          <w:rFonts w:ascii="Lato" w:hAnsi="Lato"/>
          <w:b/>
          <w:bCs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Kategorie kosztów kwalifikowalnych</w:t>
      </w:r>
    </w:p>
    <w:p w14:paraId="6E768020" w14:textId="7345C733" w:rsidR="00736F6B" w:rsidRPr="00CF2F3A" w:rsidRDefault="00736F6B" w:rsidP="00736F6B">
      <w:pPr>
        <w:spacing w:after="0"/>
        <w:ind w:left="360"/>
        <w:rPr>
          <w:rFonts w:ascii="Lato" w:hAnsi="Lato"/>
          <w:b/>
          <w:bCs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Wydatki ponoszone w ramach</w:t>
      </w:r>
      <w:r w:rsidR="00572393">
        <w:rPr>
          <w:rFonts w:ascii="Lato" w:hAnsi="Lato"/>
          <w:sz w:val="20"/>
          <w:szCs w:val="20"/>
        </w:rPr>
        <w:t xml:space="preserve"> poszczególnych projektów</w:t>
      </w:r>
      <w:r w:rsidRPr="00CF2F3A">
        <w:rPr>
          <w:rFonts w:ascii="Lato" w:hAnsi="Lato"/>
          <w:sz w:val="20"/>
          <w:szCs w:val="20"/>
        </w:rPr>
        <w:t xml:space="preserve"> inwestycji </w:t>
      </w:r>
      <w:r w:rsidR="00572393">
        <w:rPr>
          <w:rFonts w:ascii="Lato" w:hAnsi="Lato"/>
          <w:sz w:val="20"/>
          <w:szCs w:val="20"/>
        </w:rPr>
        <w:t xml:space="preserve">wchodzących w skład przedsięwzięcia </w:t>
      </w:r>
      <w:r w:rsidRPr="00CF2F3A">
        <w:rPr>
          <w:rFonts w:ascii="Lato" w:hAnsi="Lato"/>
          <w:sz w:val="20"/>
          <w:szCs w:val="20"/>
        </w:rPr>
        <w:t xml:space="preserve">muszą </w:t>
      </w:r>
      <w:r w:rsidR="00572393">
        <w:rPr>
          <w:rFonts w:ascii="Lato" w:hAnsi="Lato"/>
          <w:sz w:val="20"/>
          <w:szCs w:val="20"/>
        </w:rPr>
        <w:t>być realizowane zgodnie z ujęciem przedstawionym w dokumentacji Wniosku o objęcie wsparciem,</w:t>
      </w:r>
      <w:r w:rsidRPr="00CF2F3A">
        <w:rPr>
          <w:rFonts w:ascii="Lato" w:hAnsi="Lato"/>
          <w:sz w:val="20"/>
          <w:szCs w:val="20"/>
        </w:rPr>
        <w:t xml:space="preserve">  </w:t>
      </w:r>
      <w:r w:rsidR="003D7856">
        <w:rPr>
          <w:rFonts w:ascii="Lato" w:hAnsi="Lato"/>
          <w:sz w:val="20"/>
          <w:szCs w:val="20"/>
        </w:rPr>
        <w:t>w</w:t>
      </w:r>
      <w:r w:rsidR="00572393">
        <w:rPr>
          <w:rFonts w:ascii="Lato" w:hAnsi="Lato"/>
          <w:sz w:val="20"/>
          <w:szCs w:val="20"/>
        </w:rPr>
        <w:t xml:space="preserve"> podziale na poniższe kategorie</w:t>
      </w:r>
      <w:r w:rsidRPr="00CF2F3A">
        <w:rPr>
          <w:rFonts w:ascii="Lato" w:hAnsi="Lato"/>
          <w:sz w:val="20"/>
          <w:szCs w:val="20"/>
        </w:rPr>
        <w:t xml:space="preserve"> kosztów kwalifikowalnych</w:t>
      </w:r>
      <w:r w:rsidR="00572393">
        <w:rPr>
          <w:rFonts w:ascii="Lato" w:hAnsi="Lato"/>
          <w:sz w:val="20"/>
          <w:szCs w:val="20"/>
        </w:rPr>
        <w:t>,</w:t>
      </w:r>
      <w:r w:rsidRPr="00CF2F3A">
        <w:rPr>
          <w:rFonts w:ascii="Lato" w:hAnsi="Lato"/>
          <w:sz w:val="20"/>
          <w:szCs w:val="20"/>
        </w:rPr>
        <w:t xml:space="preserve"> określonych dla inwestycji D2.1.1</w:t>
      </w:r>
      <w:r w:rsidR="00572393">
        <w:rPr>
          <w:rFonts w:ascii="Lato" w:hAnsi="Lato"/>
          <w:sz w:val="20"/>
          <w:szCs w:val="20"/>
        </w:rPr>
        <w:t>, wskaźnika D31G,</w:t>
      </w:r>
      <w:r w:rsidRPr="00CF2F3A">
        <w:rPr>
          <w:rFonts w:ascii="Lato" w:hAnsi="Lato"/>
          <w:sz w:val="20"/>
          <w:szCs w:val="20"/>
        </w:rPr>
        <w:t xml:space="preserve"> w zakresie modernizacji i </w:t>
      </w:r>
      <w:r w:rsidR="00572393">
        <w:rPr>
          <w:rFonts w:ascii="Lato" w:hAnsi="Lato"/>
          <w:sz w:val="20"/>
          <w:szCs w:val="20"/>
        </w:rPr>
        <w:t>wy</w:t>
      </w:r>
      <w:r w:rsidRPr="00CF2F3A">
        <w:rPr>
          <w:rFonts w:ascii="Lato" w:hAnsi="Lato"/>
          <w:sz w:val="20"/>
          <w:szCs w:val="20"/>
        </w:rPr>
        <w:t>posażenia obiektów dydaktycznych w związku ze zwiększeniem limitów przyjęć na studia medyczne.</w:t>
      </w:r>
    </w:p>
    <w:p w14:paraId="531E49A7" w14:textId="48A96F38" w:rsidR="00736F6B" w:rsidRDefault="00736F6B" w:rsidP="00736F6B">
      <w:pPr>
        <w:spacing w:after="0"/>
        <w:ind w:left="360"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Koszty kwalifikowalne wynikają bezpośrednio z zakresu rzeczowego poszczególnych projektów inwestycyjnych.</w:t>
      </w:r>
    </w:p>
    <w:p w14:paraId="38205018" w14:textId="77777777" w:rsidR="00EF6294" w:rsidRPr="00CF2F3A" w:rsidRDefault="00EF6294" w:rsidP="00736F6B">
      <w:pPr>
        <w:spacing w:after="0"/>
        <w:ind w:left="360"/>
        <w:rPr>
          <w:rFonts w:ascii="Lato" w:hAnsi="Lato"/>
          <w:sz w:val="20"/>
          <w:szCs w:val="20"/>
        </w:rPr>
      </w:pPr>
    </w:p>
    <w:p w14:paraId="4BFC7996" w14:textId="77777777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Podatki i opłaty</w:t>
      </w:r>
    </w:p>
    <w:p w14:paraId="2FD15B3E" w14:textId="68B45BD6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Nieruchomości, z wyłączeniem gruntu</w:t>
      </w:r>
      <w:r w:rsidR="001D366D">
        <w:rPr>
          <w:rStyle w:val="Odwoanieprzypisudolnego"/>
          <w:rFonts w:ascii="Lato" w:eastAsiaTheme="majorEastAsia" w:hAnsi="Lato" w:cstheme="majorBidi"/>
          <w:iCs/>
          <w:kern w:val="32"/>
          <w:sz w:val="20"/>
          <w:szCs w:val="20"/>
        </w:rPr>
        <w:footnoteReference w:id="1"/>
      </w:r>
    </w:p>
    <w:p w14:paraId="0DA614A5" w14:textId="77777777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Środki trwałe/Dostawy</w:t>
      </w:r>
    </w:p>
    <w:p w14:paraId="3772BD7B" w14:textId="77777777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Usługi zewnętrzne</w:t>
      </w:r>
    </w:p>
    <w:p w14:paraId="47DBF2B9" w14:textId="77777777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Wartości niematerialne i prawne</w:t>
      </w:r>
    </w:p>
    <w:p w14:paraId="5BFB7148" w14:textId="77777777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Roboty budowlane</w:t>
      </w:r>
    </w:p>
    <w:p w14:paraId="5835BB56" w14:textId="77777777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Nadzór/ zarządzanie inwestycją</w:t>
      </w:r>
    </w:p>
    <w:p w14:paraId="2060A677" w14:textId="77777777" w:rsidR="00736F6B" w:rsidRPr="00CF2F3A" w:rsidRDefault="00736F6B" w:rsidP="00736F6B">
      <w:pPr>
        <w:pStyle w:val="Akapitzlist"/>
        <w:numPr>
          <w:ilvl w:val="0"/>
          <w:numId w:val="61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Dostawy (inne niż środki trwałe)</w:t>
      </w:r>
    </w:p>
    <w:p w14:paraId="36DEDD00" w14:textId="77777777" w:rsidR="00736F6B" w:rsidRPr="00CF2F3A" w:rsidRDefault="00736F6B" w:rsidP="00736F6B">
      <w:pPr>
        <w:spacing w:after="0" w:line="360" w:lineRule="auto"/>
        <w:rPr>
          <w:rFonts w:ascii="Lato" w:eastAsiaTheme="majorEastAsia" w:hAnsi="Lato" w:cstheme="majorBidi"/>
          <w:iCs/>
          <w:kern w:val="32"/>
          <w:sz w:val="20"/>
          <w:szCs w:val="20"/>
        </w:rPr>
      </w:pPr>
    </w:p>
    <w:p w14:paraId="1ED12491" w14:textId="77777777" w:rsidR="00736F6B" w:rsidRDefault="00736F6B" w:rsidP="00736F6B">
      <w:pPr>
        <w:pStyle w:val="Akapitzlist"/>
        <w:numPr>
          <w:ilvl w:val="0"/>
          <w:numId w:val="62"/>
        </w:numPr>
        <w:spacing w:after="0" w:line="259" w:lineRule="auto"/>
        <w:contextualSpacing/>
        <w:rPr>
          <w:rFonts w:ascii="Lato" w:hAnsi="Lato"/>
          <w:b/>
          <w:bCs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Wydatki niekwalifikowalne</w:t>
      </w:r>
    </w:p>
    <w:p w14:paraId="31846D29" w14:textId="77777777" w:rsidR="00EF6294" w:rsidRPr="00CF2F3A" w:rsidRDefault="00EF6294" w:rsidP="00EF6294">
      <w:pPr>
        <w:pStyle w:val="Akapitzlist"/>
        <w:spacing w:after="0" w:line="259" w:lineRule="auto"/>
        <w:ind w:left="360"/>
        <w:contextualSpacing/>
        <w:rPr>
          <w:rFonts w:ascii="Lato" w:hAnsi="Lato"/>
          <w:b/>
          <w:bCs/>
          <w:sz w:val="20"/>
          <w:szCs w:val="20"/>
        </w:rPr>
      </w:pPr>
    </w:p>
    <w:p w14:paraId="587480CD" w14:textId="77777777" w:rsidR="00736F6B" w:rsidRDefault="00736F6B" w:rsidP="00736F6B">
      <w:pPr>
        <w:pStyle w:val="Akapitzlist"/>
        <w:numPr>
          <w:ilvl w:val="0"/>
          <w:numId w:val="65"/>
        </w:numPr>
        <w:spacing w:after="0" w:line="259" w:lineRule="auto"/>
        <w:contextualSpacing/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>Za wydatki niekwalifikowalne są uznawane, w szczególności:</w:t>
      </w:r>
    </w:p>
    <w:p w14:paraId="77A9EA28" w14:textId="77777777" w:rsidR="00EF6294" w:rsidRPr="00CF2F3A" w:rsidRDefault="00EF6294" w:rsidP="00EF6294">
      <w:pPr>
        <w:pStyle w:val="Akapitzlist"/>
        <w:spacing w:after="0" w:line="259" w:lineRule="auto"/>
        <w:ind w:left="360"/>
        <w:contextualSpacing/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</w:pPr>
    </w:p>
    <w:p w14:paraId="087E262C" w14:textId="2EF7EA39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zakup gruntu</w:t>
      </w:r>
      <w:r w:rsidR="006D643E">
        <w:rPr>
          <w:rFonts w:ascii="Lato" w:eastAsiaTheme="majorEastAsia" w:hAnsi="Lato" w:cstheme="majorBidi"/>
          <w:iCs/>
          <w:kern w:val="32"/>
          <w:sz w:val="20"/>
          <w:szCs w:val="20"/>
        </w:rPr>
        <w:t>,</w:t>
      </w:r>
    </w:p>
    <w:p w14:paraId="6A8B1676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podatek</w:t>
      </w:r>
      <w:r w:rsidRPr="00CF2F3A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 xml:space="preserve"> od towarów i usług (VAT),</w:t>
      </w:r>
    </w:p>
    <w:p w14:paraId="74E99AB6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lastRenderedPageBreak/>
        <w:t>prowizje pobierane w ramach operacji wymiany walut,</w:t>
      </w:r>
    </w:p>
    <w:p w14:paraId="40E11CE5" w14:textId="72E30553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odsetki od zadłużenia, z wyjątkiem wydatków ponoszonych na subsydiowanie odsetek lub na dotacje na opłaty gwarancyjne w przypadku udzielania wsparcia</w:t>
      </w:r>
      <w:r w:rsidR="006D643E">
        <w:rPr>
          <w:rFonts w:ascii="Lato" w:hAnsi="Lato"/>
          <w:sz w:val="20"/>
          <w:szCs w:val="20"/>
        </w:rPr>
        <w:t>,</w:t>
      </w:r>
    </w:p>
    <w:p w14:paraId="171E62DF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koszty pożyczki lub kredytu zaciągniętego na prefinansowanie dotacji,</w:t>
      </w:r>
    </w:p>
    <w:p w14:paraId="03C3CB26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kary i grzywny,</w:t>
      </w:r>
    </w:p>
    <w:p w14:paraId="095524E2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świadczenia realizowane ze środków Zakładowego Funduszu Świadczeń Socjalnych (ZFŚS),</w:t>
      </w:r>
    </w:p>
    <w:p w14:paraId="2274AECC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odprawy emerytalno-rentowe personelu przedsięwzięcia,</w:t>
      </w:r>
    </w:p>
    <w:p w14:paraId="71628087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rozliczony notą księgową koszt zakupu środka trwałego będącego własnością ostatecznego odbiorcy lub prawa przysługującego ostatecznemu odbiorcy,</w:t>
      </w:r>
    </w:p>
    <w:p w14:paraId="6AE9B2A0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wpłaty na Państwowy Fundusz Rehabilitacji Osób Niepełnosprawnych (PFRON),</w:t>
      </w:r>
    </w:p>
    <w:p w14:paraId="2276A06F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koszty postępowania sądowego, wydatki związane z przygotowaniem i obsługą prawną spraw sądowych oraz wydatki poniesione na funkcjonowanie komisji rozjemczych, z wyjątkiem wydatków ponoszonych w przedmiotowym zakresie przez IK KPO/IOI na rzecz uczestników przedsięwzięcia,</w:t>
      </w:r>
    </w:p>
    <w:p w14:paraId="3BF582FD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wydatki poniesione na zakup używanego środka trwałego, który był w ciągu 7 lat wstecz (w przypadku nieruchomości 10 lat) współfinansowany ze środków unijnych lub z dotacji krajowych,</w:t>
      </w:r>
    </w:p>
    <w:p w14:paraId="54AEF462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inne niż część kapitałowa raty leasingowej wydatki związane z umową leasingu, w szczególności marża finansującego, odsetki od refinansowania kosztów, koszty ogólne, opłaty ubezpieczeniowe,</w:t>
      </w:r>
    </w:p>
    <w:p w14:paraId="56E23096" w14:textId="77777777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Fonts w:ascii="Lato" w:hAnsi="Lato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zakup lokali mieszkalnych,</w:t>
      </w:r>
    </w:p>
    <w:p w14:paraId="3E6ED44B" w14:textId="7494D906" w:rsidR="00736F6B" w:rsidRPr="00CF2F3A" w:rsidRDefault="00736F6B" w:rsidP="00736F6B">
      <w:pPr>
        <w:pStyle w:val="Akapitzlist"/>
        <w:numPr>
          <w:ilvl w:val="0"/>
          <w:numId w:val="66"/>
        </w:numPr>
        <w:spacing w:after="0" w:line="360" w:lineRule="auto"/>
        <w:contextualSpacing/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hAnsi="Lato"/>
          <w:sz w:val="20"/>
          <w:szCs w:val="20"/>
        </w:rPr>
        <w:t>transakcje, bez względu na liczbę wynikających z nich płatności, dokonane w gotówce, których wartość przekracza kwotę, o której mowa w art. 19 ustawy z dnia 6 marca 2018 r. Prawo przedsiębiorców (Dz. U. z 202</w:t>
      </w:r>
      <w:r w:rsidR="006D643E">
        <w:rPr>
          <w:rFonts w:ascii="Lato" w:hAnsi="Lato"/>
          <w:sz w:val="20"/>
          <w:szCs w:val="20"/>
        </w:rPr>
        <w:t>4 r. poz. 236</w:t>
      </w:r>
      <w:r w:rsidR="003B45F9">
        <w:rPr>
          <w:rFonts w:ascii="Lato" w:hAnsi="Lato"/>
          <w:sz w:val="20"/>
          <w:szCs w:val="20"/>
        </w:rPr>
        <w:t>, z późn. zm.</w:t>
      </w:r>
      <w:r w:rsidR="006D643E">
        <w:rPr>
          <w:rFonts w:ascii="Lato" w:hAnsi="Lato"/>
          <w:sz w:val="20"/>
          <w:szCs w:val="20"/>
        </w:rPr>
        <w:t>)</w:t>
      </w:r>
      <w:r w:rsidR="003B45F9">
        <w:rPr>
          <w:rFonts w:ascii="Lato" w:hAnsi="Lato"/>
          <w:sz w:val="20"/>
          <w:szCs w:val="20"/>
        </w:rPr>
        <w:t>.</w:t>
      </w:r>
    </w:p>
    <w:p w14:paraId="3CD30701" w14:textId="77777777" w:rsidR="00736F6B" w:rsidRPr="00CF2F3A" w:rsidRDefault="00736F6B" w:rsidP="00736F6B">
      <w:pPr>
        <w:pStyle w:val="Akapitzlist"/>
        <w:numPr>
          <w:ilvl w:val="0"/>
          <w:numId w:val="65"/>
        </w:numPr>
        <w:spacing w:after="0" w:line="259" w:lineRule="auto"/>
        <w:contextualSpacing/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 xml:space="preserve">Wydatki uznane za niekwalifikowalne, a związane z realizacją przedsięwzięcia, ponosi ostateczny odbiorca jako strona umowy o objęcie wsparciem </w:t>
      </w:r>
      <w:r w:rsidRPr="00CF2F3A">
        <w:rPr>
          <w:rStyle w:val="normaltextrun"/>
          <w:rFonts w:ascii="Lato" w:hAnsi="Lato"/>
          <w:sz w:val="20"/>
          <w:szCs w:val="20"/>
        </w:rPr>
        <w:t>przedsięwzięcia</w:t>
      </w:r>
      <w:r w:rsidRPr="00CF2F3A"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  <w:t>.</w:t>
      </w:r>
    </w:p>
    <w:p w14:paraId="06C08F54" w14:textId="77777777" w:rsidR="00736F6B" w:rsidRPr="00CF2F3A" w:rsidRDefault="00736F6B" w:rsidP="00736F6B">
      <w:pPr>
        <w:pStyle w:val="Akapitzlist"/>
        <w:spacing w:after="0"/>
        <w:ind w:left="360"/>
        <w:rPr>
          <w:rStyle w:val="normaltextrun"/>
          <w:rFonts w:ascii="Lato" w:eastAsiaTheme="majorEastAsia" w:hAnsi="Lato" w:cstheme="majorBidi"/>
          <w:iCs/>
          <w:kern w:val="32"/>
          <w:sz w:val="20"/>
          <w:szCs w:val="20"/>
        </w:rPr>
      </w:pPr>
    </w:p>
    <w:p w14:paraId="24473474" w14:textId="77777777" w:rsidR="00736F6B" w:rsidRDefault="00736F6B" w:rsidP="00736F6B">
      <w:pPr>
        <w:pStyle w:val="Akapitzlist"/>
        <w:numPr>
          <w:ilvl w:val="0"/>
          <w:numId w:val="62"/>
        </w:numPr>
        <w:spacing w:after="0" w:line="259" w:lineRule="auto"/>
        <w:contextualSpacing/>
        <w:rPr>
          <w:rFonts w:ascii="Lato" w:eastAsiaTheme="majorEastAsia" w:hAnsi="Lato" w:cstheme="majorBidi"/>
          <w:b/>
          <w:bCs/>
          <w:iCs/>
          <w:kern w:val="32"/>
          <w:sz w:val="20"/>
          <w:szCs w:val="20"/>
        </w:rPr>
      </w:pPr>
      <w:r>
        <w:rPr>
          <w:rFonts w:ascii="Lato" w:hAnsi="Lato"/>
          <w:b/>
          <w:bCs/>
          <w:sz w:val="20"/>
          <w:szCs w:val="20"/>
        </w:rPr>
        <w:t>K</w:t>
      </w:r>
      <w:r w:rsidRPr="00CF2F3A">
        <w:rPr>
          <w:rFonts w:ascii="Lato" w:hAnsi="Lato"/>
          <w:b/>
          <w:bCs/>
          <w:sz w:val="20"/>
          <w:szCs w:val="20"/>
        </w:rPr>
        <w:t>oszty</w:t>
      </w:r>
      <w:r w:rsidRPr="00CF2F3A">
        <w:rPr>
          <w:rFonts w:ascii="Lato" w:eastAsiaTheme="majorEastAsia" w:hAnsi="Lato" w:cstheme="majorBidi"/>
          <w:b/>
          <w:bCs/>
          <w:iCs/>
          <w:kern w:val="32"/>
          <w:sz w:val="20"/>
          <w:szCs w:val="20"/>
        </w:rPr>
        <w:t xml:space="preserve"> pośrednie</w:t>
      </w:r>
    </w:p>
    <w:p w14:paraId="24DA6F6E" w14:textId="77777777" w:rsidR="00EF6294" w:rsidRPr="00CF2F3A" w:rsidRDefault="00EF6294" w:rsidP="00EF6294">
      <w:pPr>
        <w:pStyle w:val="Akapitzlist"/>
        <w:spacing w:after="0" w:line="259" w:lineRule="auto"/>
        <w:ind w:left="360"/>
        <w:contextualSpacing/>
        <w:rPr>
          <w:rFonts w:ascii="Lato" w:eastAsiaTheme="majorEastAsia" w:hAnsi="Lato" w:cstheme="majorBidi"/>
          <w:b/>
          <w:bCs/>
          <w:iCs/>
          <w:kern w:val="32"/>
          <w:sz w:val="20"/>
          <w:szCs w:val="20"/>
        </w:rPr>
      </w:pPr>
    </w:p>
    <w:p w14:paraId="5AB3FCB0" w14:textId="6624270E" w:rsidR="00736F6B" w:rsidRPr="00CF2F3A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Koszty pośrednie</w:t>
      </w:r>
      <w:r w:rsidRPr="00CF2F3A">
        <w:rPr>
          <w:rStyle w:val="Pogrubienie"/>
          <w:rFonts w:ascii="Lato" w:hAnsi="Lato"/>
          <w:sz w:val="20"/>
          <w:szCs w:val="20"/>
        </w:rPr>
        <w:t>.</w:t>
      </w:r>
      <w:r w:rsidRPr="00CF2F3A">
        <w:rPr>
          <w:rStyle w:val="ui-provider"/>
          <w:rFonts w:ascii="Lato" w:hAnsi="Lato"/>
          <w:sz w:val="20"/>
          <w:szCs w:val="20"/>
        </w:rPr>
        <w:t xml:space="preserve"> Są to koszty, których nie można bezpośrednio przypisać </w:t>
      </w:r>
      <w:r w:rsidRPr="00CF2F3A">
        <w:rPr>
          <w:rFonts w:ascii="Lato" w:hAnsi="Lato"/>
          <w:sz w:val="20"/>
          <w:szCs w:val="20"/>
        </w:rPr>
        <w:t xml:space="preserve">w związku z </w:t>
      </w:r>
      <w:r w:rsidR="00572393">
        <w:rPr>
          <w:rFonts w:ascii="Lato" w:hAnsi="Lato"/>
          <w:sz w:val="20"/>
          <w:szCs w:val="20"/>
        </w:rPr>
        <w:t>realizowanym projektem inwestycyjnym</w:t>
      </w:r>
      <w:r w:rsidRPr="00CF2F3A">
        <w:rPr>
          <w:rFonts w:ascii="Lato" w:hAnsi="Lato"/>
          <w:sz w:val="20"/>
          <w:szCs w:val="20"/>
        </w:rPr>
        <w:t xml:space="preserve">. Koszty pośrednie </w:t>
      </w:r>
      <w:r w:rsidRPr="00CF2F3A">
        <w:rPr>
          <w:rStyle w:val="ui-provider"/>
          <w:rFonts w:ascii="Lato" w:hAnsi="Lato"/>
          <w:sz w:val="20"/>
          <w:szCs w:val="20"/>
        </w:rPr>
        <w:t xml:space="preserve">rozliczane są wyłącznie z wykorzystaniem określonej dla danego naboru stawki ryczałtowej. </w:t>
      </w:r>
    </w:p>
    <w:p w14:paraId="45F1CEC5" w14:textId="513042F3" w:rsidR="00736F6B" w:rsidRPr="00CF2F3A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CF2F3A">
        <w:rPr>
          <w:rFonts w:ascii="Lato" w:hAnsi="Lato"/>
          <w:b/>
          <w:bCs/>
          <w:sz w:val="20"/>
          <w:szCs w:val="20"/>
        </w:rPr>
        <w:t>Koszty pośrednie</w:t>
      </w:r>
      <w:r w:rsidRPr="00CF2F3A">
        <w:rPr>
          <w:rFonts w:ascii="Lato" w:hAnsi="Lato"/>
          <w:sz w:val="20"/>
          <w:szCs w:val="20"/>
        </w:rPr>
        <w:t xml:space="preserve"> stanowią koszty OOW</w:t>
      </w:r>
      <w:r>
        <w:rPr>
          <w:rFonts w:ascii="Lato" w:hAnsi="Lato"/>
          <w:sz w:val="20"/>
          <w:szCs w:val="20"/>
        </w:rPr>
        <w:t xml:space="preserve"> </w:t>
      </w:r>
      <w:r w:rsidRPr="00CF2F3A">
        <w:rPr>
          <w:rFonts w:ascii="Lato" w:hAnsi="Lato"/>
          <w:sz w:val="20"/>
          <w:szCs w:val="20"/>
        </w:rPr>
        <w:t>w zakresie zarządzania oraz obsługi administracyjnej i księgowo-finansowej</w:t>
      </w:r>
      <w:r>
        <w:rPr>
          <w:rFonts w:ascii="Lato" w:hAnsi="Lato"/>
          <w:sz w:val="20"/>
          <w:szCs w:val="20"/>
        </w:rPr>
        <w:t xml:space="preserve">, oraz inne koszty </w:t>
      </w:r>
      <w:r w:rsidRPr="00CF2F3A">
        <w:rPr>
          <w:rFonts w:ascii="Lato" w:hAnsi="Lato"/>
          <w:sz w:val="20"/>
          <w:szCs w:val="20"/>
        </w:rPr>
        <w:t xml:space="preserve">pośrednio związane z </w:t>
      </w:r>
      <w:r w:rsidR="00F3404F">
        <w:rPr>
          <w:rFonts w:ascii="Lato" w:hAnsi="Lato"/>
          <w:sz w:val="20"/>
          <w:szCs w:val="20"/>
        </w:rPr>
        <w:t>realizowanym projektem inwestycyjnym</w:t>
      </w:r>
      <w:r w:rsidRPr="00CF2F3A">
        <w:rPr>
          <w:rFonts w:ascii="Lato" w:hAnsi="Lato"/>
          <w:sz w:val="20"/>
          <w:szCs w:val="20"/>
        </w:rPr>
        <w:t>, w szczególności:</w:t>
      </w:r>
    </w:p>
    <w:p w14:paraId="68962572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koordynatora lub kierownika projektu oraz innego personelu bezpośrednio zaangażowanego w zarządzanie projektem i jego rozliczanie, o ile jego zatrudnienie jest niezbędne dla realizacji projektu, w tym w szczególności koszty wynagrodzenia tych osób, 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lastRenderedPageBreak/>
        <w:t xml:space="preserve">ich delegacji służbowych i szkoleń oraz koszty związane z wdrażaniem polityki równych szans i zasady DNSH przez te osoby, </w:t>
      </w:r>
    </w:p>
    <w:p w14:paraId="632763FF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zarządu (koszty wynagrodzenia osób uprawnionych do reprezentowania jednostki, których zakresy czynności nie są przypisane wyłącznie do projektu, np. kierownik jednostki), </w:t>
      </w:r>
    </w:p>
    <w:p w14:paraId="793428D1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obsługi administracyjnej projektu, tj.: 1. koszty personelu obsługowego (obsługa kadrowa, finansowa, administracyjna, sekretariat, kancelaria, obsługa prawna) niezbędne dla realizacji projektu, 2. koszty obsługi księgowej (koszty wynagrodzenia osób księgujących wydatki w projekcie, w tym koszty zlecenia prowadzenia obsługi księgowej projektu biuru rachunkowemu), </w:t>
      </w:r>
    </w:p>
    <w:p w14:paraId="610ECB71" w14:textId="39EA0D40" w:rsidR="00736F6B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koszty utrzymania powierzchni biurowych (czynsz, najem, opłaty administracyjne) związane z obsługą administracyjną projektu</w:t>
      </w:r>
      <w:r w:rsidR="00803F93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– proporcjonalnie do udziału w projekcie,</w:t>
      </w:r>
    </w:p>
    <w:p w14:paraId="0F9F8F16" w14:textId="5130939F" w:rsidR="00736F6B" w:rsidRPr="00736F6B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736F6B">
        <w:rPr>
          <w:rFonts w:ascii="Lato" w:eastAsiaTheme="majorEastAsia" w:hAnsi="Lato" w:cstheme="majorBidi"/>
          <w:iCs/>
          <w:kern w:val="32"/>
          <w:sz w:val="20"/>
          <w:szCs w:val="20"/>
        </w:rPr>
        <w:t>koszty związane z zabezpieczeniem procesu dydaktycznego, w związku z prowadzonymi modernizacjami budynków dydaktycznych i ich czasowym wyłączeniem z użytkowania, w tym wynajmem kontenerów i pomieszczeń zastępczych wraz z pracami towarzyszącymi,</w:t>
      </w:r>
    </w:p>
    <w:p w14:paraId="7740FB15" w14:textId="719C618B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wydatki związane z otworzeniem lub prowadzeniem wyodrębnionego na rzecz projektu</w:t>
      </w:r>
      <w:r>
        <w:rPr>
          <w:rFonts w:ascii="Lato" w:eastAsiaTheme="majorEastAsia" w:hAnsi="Lato" w:cstheme="majorBidi"/>
          <w:iCs/>
          <w:kern w:val="32"/>
          <w:sz w:val="20"/>
          <w:szCs w:val="20"/>
        </w:rPr>
        <w:t>,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subkonta na rachunku bankowym lub odrębnego rachunku bankowego, </w:t>
      </w:r>
    </w:p>
    <w:p w14:paraId="12ED4865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działania informacyjno</w:t>
      </w:r>
      <w:r w:rsidRPr="00CF2F3A">
        <w:rPr>
          <w:rFonts w:ascii="Cambria Math" w:eastAsiaTheme="majorEastAsia" w:hAnsi="Cambria Math" w:cs="Cambria Math"/>
          <w:iCs/>
          <w:kern w:val="32"/>
          <w:sz w:val="20"/>
          <w:szCs w:val="20"/>
        </w:rPr>
        <w:t>‐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promocyjne projektu (np. zakup materia</w:t>
      </w:r>
      <w:r w:rsidRPr="00CF2F3A">
        <w:rPr>
          <w:rFonts w:ascii="Lato" w:eastAsiaTheme="majorEastAsia" w:hAnsi="Lato" w:cs="Lato"/>
          <w:iCs/>
          <w:kern w:val="32"/>
          <w:sz w:val="20"/>
          <w:szCs w:val="20"/>
        </w:rPr>
        <w:t>łó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w promocyjnych i informacyjnych, zakup ogłoszeń prasowych), </w:t>
      </w:r>
    </w:p>
    <w:p w14:paraId="33FF1698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amortyzacja, najem lub zakup aktywów (środków trwałych i wartości niematerialnych i prawnych) używanych na potrzeby obsługi administracyjnej projektu, </w:t>
      </w:r>
    </w:p>
    <w:p w14:paraId="5C129F22" w14:textId="74705F1C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opłaty za energię elektryczną, cieplną, gazową i wodę, opłaty przesyłowe, opłaty za odprowadzanie ścieków w zakresie związanym z obsługą administracyjną projektu</w:t>
      </w:r>
      <w:r w:rsidR="00803F93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-</w:t>
      </w:r>
      <w:r w:rsidR="00803F93" w:rsidRPr="00803F93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 proporcjonalnie do udziału w projekcie</w:t>
      </w: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>,</w:t>
      </w:r>
    </w:p>
    <w:p w14:paraId="516FB3FE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usług pocztowych, telefonicznych, internetowych, kurierskich związanych z obsługą administracyjną projektu, </w:t>
      </w:r>
    </w:p>
    <w:p w14:paraId="4558EC8B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usług powielania dokumentów związanych z obsługą administracyjną projektu, </w:t>
      </w:r>
    </w:p>
    <w:p w14:paraId="7F775F18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materiałów biurowych i artykułów piśmienniczych związanych z obsługą administracyjną projektu, </w:t>
      </w:r>
    </w:p>
    <w:p w14:paraId="21880A51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ubezpieczeń majątkowych, </w:t>
      </w:r>
    </w:p>
    <w:p w14:paraId="7B007CCB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ochrony, </w:t>
      </w:r>
    </w:p>
    <w:p w14:paraId="5CC080DD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sprzątania pomieszczeń związanych z obsługą administracyjną projektu, w tym środki do utrzymania ich czystości oraz dezynsekcję, dezynfekcję, deratyzację tych pomieszczeń, </w:t>
      </w:r>
    </w:p>
    <w:p w14:paraId="601C87B5" w14:textId="77777777" w:rsidR="00736F6B" w:rsidRPr="00CF2F3A" w:rsidRDefault="00736F6B" w:rsidP="00736F6B">
      <w:pPr>
        <w:pStyle w:val="Akapitzlist"/>
        <w:numPr>
          <w:ilvl w:val="0"/>
          <w:numId w:val="64"/>
        </w:numPr>
        <w:spacing w:after="0" w:line="360" w:lineRule="auto"/>
        <w:contextualSpacing/>
        <w:rPr>
          <w:rFonts w:ascii="Lato" w:eastAsiaTheme="majorEastAsia" w:hAnsi="Lato" w:cstheme="majorBidi"/>
          <w:iCs/>
          <w:kern w:val="32"/>
          <w:sz w:val="20"/>
          <w:szCs w:val="20"/>
        </w:rPr>
      </w:pPr>
      <w:r w:rsidRPr="00CF2F3A">
        <w:rPr>
          <w:rFonts w:ascii="Lato" w:eastAsiaTheme="majorEastAsia" w:hAnsi="Lato" w:cstheme="majorBidi"/>
          <w:iCs/>
          <w:kern w:val="32"/>
          <w:sz w:val="20"/>
          <w:szCs w:val="20"/>
        </w:rPr>
        <w:t xml:space="preserve">koszty zabezpieczenia prawidłowej realizacji umowy. </w:t>
      </w:r>
    </w:p>
    <w:p w14:paraId="6ADE8801" w14:textId="77777777" w:rsidR="00EF6294" w:rsidRDefault="00EF6294" w:rsidP="00736F6B">
      <w:pPr>
        <w:spacing w:after="0" w:line="360" w:lineRule="auto"/>
        <w:rPr>
          <w:rFonts w:ascii="Lato" w:hAnsi="Lato"/>
          <w:sz w:val="20"/>
          <w:szCs w:val="20"/>
        </w:rPr>
      </w:pPr>
    </w:p>
    <w:p w14:paraId="418F1A66" w14:textId="33DE1BD5" w:rsidR="00736F6B" w:rsidRPr="005B1C74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5B1C74">
        <w:rPr>
          <w:rFonts w:ascii="Lato" w:hAnsi="Lato"/>
          <w:sz w:val="20"/>
          <w:szCs w:val="20"/>
        </w:rPr>
        <w:t xml:space="preserve">W ramach kosztów pośrednich nie są wykazywane wydatki objęte cross financingiem. </w:t>
      </w:r>
    </w:p>
    <w:p w14:paraId="29F48742" w14:textId="77777777" w:rsidR="00736F6B" w:rsidRPr="005B1C74" w:rsidRDefault="00736F6B" w:rsidP="00736F6B">
      <w:pPr>
        <w:spacing w:after="0" w:line="360" w:lineRule="auto"/>
        <w:rPr>
          <w:rFonts w:ascii="Lato" w:hAnsi="Lato"/>
          <w:sz w:val="20"/>
          <w:szCs w:val="20"/>
        </w:rPr>
      </w:pPr>
      <w:r w:rsidRPr="005B1C74">
        <w:rPr>
          <w:rFonts w:ascii="Lato" w:hAnsi="Lato"/>
          <w:sz w:val="20"/>
          <w:szCs w:val="20"/>
        </w:rPr>
        <w:lastRenderedPageBreak/>
        <w:t xml:space="preserve">Niedopuszczalna jest sytuacja, w której koszty pośrednie zostaną wykazane w ramach kosztów bezpośrednich. IOI na etapie wyboru projektu weryfikuje, czy w ramach projektów określonych w budżecie przedsięwzięcia (w kosztach bezpośrednich) nie zostały wykazane koszty, które stanowią koszty pośrednie. Dodatkowo, na etapie realizacji projektu, IOI weryfikuje, czy w zestawieniu poniesionych wydatków bezpośrednich załączanym do wniosku o płatność, nie zostały wykazane wydatki pośrednie. </w:t>
      </w:r>
    </w:p>
    <w:p w14:paraId="59DEC26A" w14:textId="5520D60C" w:rsidR="00736F6B" w:rsidRPr="00EA7D51" w:rsidRDefault="00736F6B" w:rsidP="00EA7D51">
      <w:pPr>
        <w:spacing w:after="0" w:line="360" w:lineRule="auto"/>
        <w:rPr>
          <w:rFonts w:ascii="Lato" w:hAnsi="Lato"/>
          <w:sz w:val="20"/>
          <w:szCs w:val="20"/>
        </w:rPr>
      </w:pPr>
      <w:r w:rsidRPr="005B1C74">
        <w:rPr>
          <w:rFonts w:ascii="Lato" w:hAnsi="Lato"/>
          <w:sz w:val="20"/>
          <w:szCs w:val="20"/>
        </w:rPr>
        <w:t>Koszty pośrednie rozliczane są wyłącznie z wykorzystaniem stawki ryczałtowej– określ</w:t>
      </w:r>
      <w:r>
        <w:rPr>
          <w:rFonts w:ascii="Lato" w:hAnsi="Lato"/>
          <w:sz w:val="20"/>
          <w:szCs w:val="20"/>
        </w:rPr>
        <w:t>o</w:t>
      </w:r>
      <w:r w:rsidRPr="005B1C74">
        <w:rPr>
          <w:rFonts w:ascii="Lato" w:hAnsi="Lato"/>
          <w:sz w:val="20"/>
          <w:szCs w:val="20"/>
        </w:rPr>
        <w:t xml:space="preserve">nej dla danego przedsięwzięcia. </w:t>
      </w:r>
    </w:p>
    <w:sectPr w:rsidR="00736F6B" w:rsidRPr="00EA7D5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8EC65" w14:textId="77777777" w:rsidR="00FF4998" w:rsidRDefault="00FF4998" w:rsidP="00F86C6D">
      <w:pPr>
        <w:spacing w:after="0" w:line="240" w:lineRule="auto"/>
      </w:pPr>
      <w:r>
        <w:separator/>
      </w:r>
    </w:p>
  </w:endnote>
  <w:endnote w:type="continuationSeparator" w:id="0">
    <w:p w14:paraId="6749E09A" w14:textId="77777777" w:rsidR="00FF4998" w:rsidRDefault="00FF4998" w:rsidP="00F8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429409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E581811" w14:textId="550FCC62" w:rsidR="00A31650" w:rsidRPr="00A31650" w:rsidRDefault="00A31650">
        <w:pPr>
          <w:pStyle w:val="Stopka"/>
          <w:jc w:val="right"/>
          <w:rPr>
            <w:sz w:val="20"/>
            <w:szCs w:val="20"/>
          </w:rPr>
        </w:pPr>
        <w:r w:rsidRPr="00A31650">
          <w:rPr>
            <w:sz w:val="20"/>
            <w:szCs w:val="20"/>
          </w:rPr>
          <w:fldChar w:fldCharType="begin"/>
        </w:r>
        <w:r w:rsidRPr="00A31650">
          <w:rPr>
            <w:sz w:val="20"/>
            <w:szCs w:val="20"/>
          </w:rPr>
          <w:instrText>PAGE   \* MERGEFORMAT</w:instrText>
        </w:r>
        <w:r w:rsidRPr="00A31650">
          <w:rPr>
            <w:sz w:val="20"/>
            <w:szCs w:val="20"/>
          </w:rPr>
          <w:fldChar w:fldCharType="separate"/>
        </w:r>
        <w:r w:rsidRPr="00A31650">
          <w:rPr>
            <w:sz w:val="20"/>
            <w:szCs w:val="20"/>
          </w:rPr>
          <w:t>2</w:t>
        </w:r>
        <w:r w:rsidRPr="00A31650">
          <w:rPr>
            <w:sz w:val="20"/>
            <w:szCs w:val="20"/>
          </w:rPr>
          <w:fldChar w:fldCharType="end"/>
        </w:r>
      </w:p>
    </w:sdtContent>
  </w:sdt>
  <w:p w14:paraId="00D0ACDD" w14:textId="77777777" w:rsidR="00A31650" w:rsidRDefault="00A316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43A41" w14:textId="77777777" w:rsidR="00FF4998" w:rsidRDefault="00FF4998" w:rsidP="00F86C6D">
      <w:pPr>
        <w:spacing w:after="0" w:line="240" w:lineRule="auto"/>
      </w:pPr>
      <w:r>
        <w:separator/>
      </w:r>
    </w:p>
  </w:footnote>
  <w:footnote w:type="continuationSeparator" w:id="0">
    <w:p w14:paraId="1B882ADD" w14:textId="77777777" w:rsidR="00FF4998" w:rsidRDefault="00FF4998" w:rsidP="00F86C6D">
      <w:pPr>
        <w:spacing w:after="0" w:line="240" w:lineRule="auto"/>
      </w:pPr>
      <w:r>
        <w:continuationSeparator/>
      </w:r>
    </w:p>
  </w:footnote>
  <w:footnote w:id="1">
    <w:p w14:paraId="6A341421" w14:textId="43D2E91E" w:rsidR="001D366D" w:rsidRPr="00862C52" w:rsidRDefault="001D366D">
      <w:pPr>
        <w:pStyle w:val="Tekstprzypisudolnego"/>
        <w:rPr>
          <w:rFonts w:ascii="Lato" w:hAnsi="Lato"/>
          <w:sz w:val="16"/>
          <w:szCs w:val="16"/>
        </w:rPr>
      </w:pPr>
      <w:r w:rsidRPr="00862C52">
        <w:rPr>
          <w:rStyle w:val="Odwoanieprzypisudolnego"/>
          <w:rFonts w:ascii="Lato" w:hAnsi="Lato"/>
          <w:sz w:val="16"/>
          <w:szCs w:val="16"/>
        </w:rPr>
        <w:footnoteRef/>
      </w:r>
      <w:r w:rsidRPr="00862C52">
        <w:rPr>
          <w:rFonts w:ascii="Lato" w:hAnsi="Lato"/>
          <w:sz w:val="16"/>
          <w:szCs w:val="16"/>
        </w:rPr>
        <w:t xml:space="preserve"> </w:t>
      </w:r>
      <w:r w:rsidR="00B81C2D">
        <w:rPr>
          <w:rFonts w:ascii="Lato" w:hAnsi="Lato"/>
          <w:sz w:val="16"/>
          <w:szCs w:val="16"/>
        </w:rPr>
        <w:t xml:space="preserve">Stanowiące odrębny od gruntu przedmiot własności </w:t>
      </w:r>
      <w:r w:rsidR="00862C52" w:rsidRPr="00862C52">
        <w:rPr>
          <w:rFonts w:ascii="Lato" w:hAnsi="Lato"/>
          <w:sz w:val="16"/>
          <w:szCs w:val="16"/>
        </w:rPr>
        <w:t>nieruchomości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C65A9" w14:textId="73F664AA" w:rsidR="00324DCE" w:rsidRDefault="00761C89">
    <w:pPr>
      <w:pStyle w:val="Nagwek"/>
    </w:pPr>
    <w:r>
      <w:rPr>
        <w:noProof/>
      </w:rPr>
      <w:drawing>
        <wp:inline distT="0" distB="0" distL="0" distR="0" wp14:anchorId="279B0207" wp14:editId="67C3486A">
          <wp:extent cx="5761355" cy="572770"/>
          <wp:effectExtent l="0" t="0" r="0" b="0"/>
          <wp:docPr id="14956585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B00B7"/>
    <w:multiLevelType w:val="hybridMultilevel"/>
    <w:tmpl w:val="A3A212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757ED"/>
    <w:multiLevelType w:val="hybridMultilevel"/>
    <w:tmpl w:val="E8EE9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27413F"/>
    <w:multiLevelType w:val="hybridMultilevel"/>
    <w:tmpl w:val="C4DCB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A4145"/>
    <w:multiLevelType w:val="hybridMultilevel"/>
    <w:tmpl w:val="A1E8AC90"/>
    <w:lvl w:ilvl="0" w:tplc="4ACE3E7A">
      <w:start w:val="1"/>
      <w:numFmt w:val="upperRoman"/>
      <w:lvlText w:val="%1."/>
      <w:lvlJc w:val="right"/>
      <w:pPr>
        <w:ind w:left="360" w:hanging="360"/>
      </w:pPr>
    </w:lvl>
    <w:lvl w:ilvl="1" w:tplc="1BA4E76A" w:tentative="1">
      <w:start w:val="1"/>
      <w:numFmt w:val="lowerLetter"/>
      <w:lvlText w:val="%2."/>
      <w:lvlJc w:val="left"/>
      <w:pPr>
        <w:ind w:left="1080" w:hanging="360"/>
      </w:pPr>
    </w:lvl>
    <w:lvl w:ilvl="2" w:tplc="5E682106" w:tentative="1">
      <w:start w:val="1"/>
      <w:numFmt w:val="lowerRoman"/>
      <w:lvlText w:val="%3."/>
      <w:lvlJc w:val="right"/>
      <w:pPr>
        <w:ind w:left="1800" w:hanging="180"/>
      </w:pPr>
    </w:lvl>
    <w:lvl w:ilvl="3" w:tplc="5582D3B4" w:tentative="1">
      <w:start w:val="1"/>
      <w:numFmt w:val="decimal"/>
      <w:lvlText w:val="%4."/>
      <w:lvlJc w:val="left"/>
      <w:pPr>
        <w:ind w:left="2520" w:hanging="360"/>
      </w:pPr>
    </w:lvl>
    <w:lvl w:ilvl="4" w:tplc="3BB2AE62" w:tentative="1">
      <w:start w:val="1"/>
      <w:numFmt w:val="lowerLetter"/>
      <w:lvlText w:val="%5."/>
      <w:lvlJc w:val="left"/>
      <w:pPr>
        <w:ind w:left="3240" w:hanging="360"/>
      </w:pPr>
    </w:lvl>
    <w:lvl w:ilvl="5" w:tplc="974A6DA8" w:tentative="1">
      <w:start w:val="1"/>
      <w:numFmt w:val="lowerRoman"/>
      <w:lvlText w:val="%6."/>
      <w:lvlJc w:val="right"/>
      <w:pPr>
        <w:ind w:left="3960" w:hanging="180"/>
      </w:pPr>
    </w:lvl>
    <w:lvl w:ilvl="6" w:tplc="41388E52" w:tentative="1">
      <w:start w:val="1"/>
      <w:numFmt w:val="decimal"/>
      <w:lvlText w:val="%7."/>
      <w:lvlJc w:val="left"/>
      <w:pPr>
        <w:ind w:left="4680" w:hanging="360"/>
      </w:pPr>
    </w:lvl>
    <w:lvl w:ilvl="7" w:tplc="53CC0E12" w:tentative="1">
      <w:start w:val="1"/>
      <w:numFmt w:val="lowerLetter"/>
      <w:lvlText w:val="%8."/>
      <w:lvlJc w:val="left"/>
      <w:pPr>
        <w:ind w:left="5400" w:hanging="360"/>
      </w:pPr>
    </w:lvl>
    <w:lvl w:ilvl="8" w:tplc="4BDE155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0A3CC1"/>
    <w:multiLevelType w:val="hybridMultilevel"/>
    <w:tmpl w:val="259ADC4A"/>
    <w:lvl w:ilvl="0" w:tplc="BADCFFF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83C5CDF"/>
    <w:multiLevelType w:val="hybridMultilevel"/>
    <w:tmpl w:val="54BC3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56856"/>
    <w:multiLevelType w:val="hybridMultilevel"/>
    <w:tmpl w:val="82B6E0FC"/>
    <w:lvl w:ilvl="0" w:tplc="FD46F88E">
      <w:start w:val="1"/>
      <w:numFmt w:val="decimal"/>
      <w:lvlText w:val=" %1.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52E44"/>
    <w:multiLevelType w:val="hybridMultilevel"/>
    <w:tmpl w:val="7E36816C"/>
    <w:lvl w:ilvl="0" w:tplc="D96CB5D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87853"/>
    <w:multiLevelType w:val="hybridMultilevel"/>
    <w:tmpl w:val="872E4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B31E1"/>
    <w:multiLevelType w:val="hybridMultilevel"/>
    <w:tmpl w:val="9920EF70"/>
    <w:lvl w:ilvl="0" w:tplc="04150011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11" w15:restartNumberingAfterBreak="0">
    <w:nsid w:val="1D882C5A"/>
    <w:multiLevelType w:val="hybridMultilevel"/>
    <w:tmpl w:val="C5642D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EE325E6"/>
    <w:multiLevelType w:val="hybridMultilevel"/>
    <w:tmpl w:val="4C468520"/>
    <w:lvl w:ilvl="0" w:tplc="795C2978">
      <w:start w:val="1"/>
      <w:numFmt w:val="lowerLetter"/>
      <w:lvlText w:val="%1."/>
      <w:lvlJc w:val="left"/>
      <w:pPr>
        <w:ind w:left="720" w:hanging="360"/>
      </w:pPr>
    </w:lvl>
    <w:lvl w:ilvl="1" w:tplc="6396D9AA">
      <w:start w:val="1"/>
      <w:numFmt w:val="lowerLetter"/>
      <w:lvlText w:val="%2."/>
      <w:lvlJc w:val="left"/>
      <w:pPr>
        <w:ind w:left="1440" w:hanging="360"/>
      </w:pPr>
    </w:lvl>
    <w:lvl w:ilvl="2" w:tplc="E4064BCE" w:tentative="1">
      <w:start w:val="1"/>
      <w:numFmt w:val="lowerRoman"/>
      <w:lvlText w:val="%3."/>
      <w:lvlJc w:val="right"/>
      <w:pPr>
        <w:ind w:left="2160" w:hanging="180"/>
      </w:pPr>
    </w:lvl>
    <w:lvl w:ilvl="3" w:tplc="9D38FDEC" w:tentative="1">
      <w:start w:val="1"/>
      <w:numFmt w:val="decimal"/>
      <w:lvlText w:val="%4."/>
      <w:lvlJc w:val="left"/>
      <w:pPr>
        <w:ind w:left="2880" w:hanging="360"/>
      </w:pPr>
    </w:lvl>
    <w:lvl w:ilvl="4" w:tplc="EF3ED326" w:tentative="1">
      <w:start w:val="1"/>
      <w:numFmt w:val="lowerLetter"/>
      <w:lvlText w:val="%5."/>
      <w:lvlJc w:val="left"/>
      <w:pPr>
        <w:ind w:left="3600" w:hanging="360"/>
      </w:pPr>
    </w:lvl>
    <w:lvl w:ilvl="5" w:tplc="169EEC22" w:tentative="1">
      <w:start w:val="1"/>
      <w:numFmt w:val="lowerRoman"/>
      <w:lvlText w:val="%6."/>
      <w:lvlJc w:val="right"/>
      <w:pPr>
        <w:ind w:left="4320" w:hanging="180"/>
      </w:pPr>
    </w:lvl>
    <w:lvl w:ilvl="6" w:tplc="85E2A8D4" w:tentative="1">
      <w:start w:val="1"/>
      <w:numFmt w:val="decimal"/>
      <w:lvlText w:val="%7."/>
      <w:lvlJc w:val="left"/>
      <w:pPr>
        <w:ind w:left="5040" w:hanging="360"/>
      </w:pPr>
    </w:lvl>
    <w:lvl w:ilvl="7" w:tplc="6A0E10FE" w:tentative="1">
      <w:start w:val="1"/>
      <w:numFmt w:val="lowerLetter"/>
      <w:lvlText w:val="%8."/>
      <w:lvlJc w:val="left"/>
      <w:pPr>
        <w:ind w:left="5760" w:hanging="360"/>
      </w:pPr>
    </w:lvl>
    <w:lvl w:ilvl="8" w:tplc="56AEAA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512EA"/>
    <w:multiLevelType w:val="hybridMultilevel"/>
    <w:tmpl w:val="024EE9E4"/>
    <w:lvl w:ilvl="0" w:tplc="4D2CE12C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F733AA1"/>
    <w:multiLevelType w:val="hybridMultilevel"/>
    <w:tmpl w:val="706437D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1FB81CFC"/>
    <w:multiLevelType w:val="hybridMultilevel"/>
    <w:tmpl w:val="AD8A3766"/>
    <w:lvl w:ilvl="0" w:tplc="90F22C8E">
      <w:start w:val="5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16" w15:restartNumberingAfterBreak="0">
    <w:nsid w:val="2323233E"/>
    <w:multiLevelType w:val="hybridMultilevel"/>
    <w:tmpl w:val="D39A4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464C15"/>
    <w:multiLevelType w:val="hybridMultilevel"/>
    <w:tmpl w:val="09926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AB76D6"/>
    <w:multiLevelType w:val="hybridMultilevel"/>
    <w:tmpl w:val="65284ED4"/>
    <w:lvl w:ilvl="0" w:tplc="799A668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807A45"/>
    <w:multiLevelType w:val="hybridMultilevel"/>
    <w:tmpl w:val="379264F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9013851"/>
    <w:multiLevelType w:val="hybridMultilevel"/>
    <w:tmpl w:val="FDAC33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72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D4664C"/>
    <w:multiLevelType w:val="hybridMultilevel"/>
    <w:tmpl w:val="394A4EA0"/>
    <w:lvl w:ilvl="0" w:tplc="04150013">
      <w:start w:val="1"/>
      <w:numFmt w:val="upperRoman"/>
      <w:lvlText w:val="%1."/>
      <w:lvlJc w:val="right"/>
      <w:pPr>
        <w:ind w:left="221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6" w:hanging="360"/>
      </w:pPr>
    </w:lvl>
    <w:lvl w:ilvl="2" w:tplc="0415001B" w:tentative="1">
      <w:start w:val="1"/>
      <w:numFmt w:val="lowerRoman"/>
      <w:lvlText w:val="%3."/>
      <w:lvlJc w:val="right"/>
      <w:pPr>
        <w:ind w:left="3296" w:hanging="180"/>
      </w:pPr>
    </w:lvl>
    <w:lvl w:ilvl="3" w:tplc="0415000F" w:tentative="1">
      <w:start w:val="1"/>
      <w:numFmt w:val="decimal"/>
      <w:lvlText w:val="%4."/>
      <w:lvlJc w:val="left"/>
      <w:pPr>
        <w:ind w:left="4016" w:hanging="360"/>
      </w:pPr>
    </w:lvl>
    <w:lvl w:ilvl="4" w:tplc="04150019" w:tentative="1">
      <w:start w:val="1"/>
      <w:numFmt w:val="lowerLetter"/>
      <w:lvlText w:val="%5."/>
      <w:lvlJc w:val="left"/>
      <w:pPr>
        <w:ind w:left="4736" w:hanging="360"/>
      </w:pPr>
    </w:lvl>
    <w:lvl w:ilvl="5" w:tplc="0415001B" w:tentative="1">
      <w:start w:val="1"/>
      <w:numFmt w:val="lowerRoman"/>
      <w:lvlText w:val="%6."/>
      <w:lvlJc w:val="right"/>
      <w:pPr>
        <w:ind w:left="5456" w:hanging="180"/>
      </w:pPr>
    </w:lvl>
    <w:lvl w:ilvl="6" w:tplc="0415000F" w:tentative="1">
      <w:start w:val="1"/>
      <w:numFmt w:val="decimal"/>
      <w:lvlText w:val="%7."/>
      <w:lvlJc w:val="left"/>
      <w:pPr>
        <w:ind w:left="6176" w:hanging="360"/>
      </w:pPr>
    </w:lvl>
    <w:lvl w:ilvl="7" w:tplc="04150019" w:tentative="1">
      <w:start w:val="1"/>
      <w:numFmt w:val="lowerLetter"/>
      <w:lvlText w:val="%8."/>
      <w:lvlJc w:val="left"/>
      <w:pPr>
        <w:ind w:left="6896" w:hanging="360"/>
      </w:pPr>
    </w:lvl>
    <w:lvl w:ilvl="8" w:tplc="041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3" w15:restartNumberingAfterBreak="0">
    <w:nsid w:val="2AF23291"/>
    <w:multiLevelType w:val="hybridMultilevel"/>
    <w:tmpl w:val="053E6956"/>
    <w:lvl w:ilvl="0" w:tplc="15941A6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2D1A052D"/>
    <w:multiLevelType w:val="hybridMultilevel"/>
    <w:tmpl w:val="4F2EE754"/>
    <w:lvl w:ilvl="0" w:tplc="30D0F12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F04A8A"/>
    <w:multiLevelType w:val="hybridMultilevel"/>
    <w:tmpl w:val="B4E2FA54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1364" w:hanging="360"/>
      </w:pPr>
    </w:lvl>
    <w:lvl w:ilvl="2" w:tplc="04150011">
      <w:start w:val="1"/>
      <w:numFmt w:val="decimal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2F773B6"/>
    <w:multiLevelType w:val="hybridMultilevel"/>
    <w:tmpl w:val="C61CB8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30051D1"/>
    <w:multiLevelType w:val="hybridMultilevel"/>
    <w:tmpl w:val="25EE99B8"/>
    <w:lvl w:ilvl="0" w:tplc="E922548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3E62BAC"/>
    <w:multiLevelType w:val="hybridMultilevel"/>
    <w:tmpl w:val="0B9EFA6E"/>
    <w:lvl w:ilvl="0" w:tplc="FFFFFFFF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2264" w:hanging="360"/>
      </w:pPr>
    </w:lvl>
    <w:lvl w:ilvl="2" w:tplc="FFFFFFFF">
      <w:start w:val="1"/>
      <w:numFmt w:val="lowerLetter"/>
      <w:lvlText w:val="%3)"/>
      <w:lvlJc w:val="left"/>
      <w:pPr>
        <w:ind w:left="2264" w:hanging="36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5FE076E"/>
    <w:multiLevelType w:val="hybridMultilevel"/>
    <w:tmpl w:val="8C0E833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8083AAD"/>
    <w:multiLevelType w:val="hybridMultilevel"/>
    <w:tmpl w:val="9C561AC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3A256F0C"/>
    <w:multiLevelType w:val="hybridMultilevel"/>
    <w:tmpl w:val="F2182932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F2B2854"/>
    <w:multiLevelType w:val="hybridMultilevel"/>
    <w:tmpl w:val="6E60E6C6"/>
    <w:lvl w:ilvl="0" w:tplc="7FAA104C">
      <w:start w:val="1"/>
      <w:numFmt w:val="decimal"/>
      <w:lvlText w:val="%1."/>
      <w:lvlJc w:val="left"/>
      <w:pPr>
        <w:ind w:left="1004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426E2C04"/>
    <w:multiLevelType w:val="hybridMultilevel"/>
    <w:tmpl w:val="314CB1AA"/>
    <w:lvl w:ilvl="0" w:tplc="9B70AF4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F40DE1C">
      <w:start w:val="1"/>
      <w:numFmt w:val="lowerLetter"/>
      <w:lvlText w:val="%2."/>
      <w:lvlJc w:val="left"/>
      <w:pPr>
        <w:ind w:left="1800" w:hanging="360"/>
      </w:pPr>
    </w:lvl>
    <w:lvl w:ilvl="2" w:tplc="71B6F61C" w:tentative="1">
      <w:start w:val="1"/>
      <w:numFmt w:val="lowerRoman"/>
      <w:lvlText w:val="%3."/>
      <w:lvlJc w:val="right"/>
      <w:pPr>
        <w:ind w:left="2520" w:hanging="180"/>
      </w:pPr>
    </w:lvl>
    <w:lvl w:ilvl="3" w:tplc="4850BC30" w:tentative="1">
      <w:start w:val="1"/>
      <w:numFmt w:val="decimal"/>
      <w:lvlText w:val="%4."/>
      <w:lvlJc w:val="left"/>
      <w:pPr>
        <w:ind w:left="3240" w:hanging="360"/>
      </w:pPr>
    </w:lvl>
    <w:lvl w:ilvl="4" w:tplc="1C2AB6D2" w:tentative="1">
      <w:start w:val="1"/>
      <w:numFmt w:val="lowerLetter"/>
      <w:lvlText w:val="%5."/>
      <w:lvlJc w:val="left"/>
      <w:pPr>
        <w:ind w:left="3960" w:hanging="360"/>
      </w:pPr>
    </w:lvl>
    <w:lvl w:ilvl="5" w:tplc="3F225F94" w:tentative="1">
      <w:start w:val="1"/>
      <w:numFmt w:val="lowerRoman"/>
      <w:lvlText w:val="%6."/>
      <w:lvlJc w:val="right"/>
      <w:pPr>
        <w:ind w:left="4680" w:hanging="180"/>
      </w:pPr>
    </w:lvl>
    <w:lvl w:ilvl="6" w:tplc="474C97E6" w:tentative="1">
      <w:start w:val="1"/>
      <w:numFmt w:val="decimal"/>
      <w:lvlText w:val="%7."/>
      <w:lvlJc w:val="left"/>
      <w:pPr>
        <w:ind w:left="5400" w:hanging="360"/>
      </w:pPr>
    </w:lvl>
    <w:lvl w:ilvl="7" w:tplc="B8B0BF6E" w:tentative="1">
      <w:start w:val="1"/>
      <w:numFmt w:val="lowerLetter"/>
      <w:lvlText w:val="%8."/>
      <w:lvlJc w:val="left"/>
      <w:pPr>
        <w:ind w:left="6120" w:hanging="360"/>
      </w:pPr>
    </w:lvl>
    <w:lvl w:ilvl="8" w:tplc="7402F7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5AA5999"/>
    <w:multiLevelType w:val="hybridMultilevel"/>
    <w:tmpl w:val="069CE5C2"/>
    <w:lvl w:ilvl="0" w:tplc="02466E58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4A2372E6"/>
    <w:multiLevelType w:val="hybridMultilevel"/>
    <w:tmpl w:val="44388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984713"/>
    <w:multiLevelType w:val="hybridMultilevel"/>
    <w:tmpl w:val="5D340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E839C3"/>
    <w:multiLevelType w:val="hybridMultilevel"/>
    <w:tmpl w:val="C5642D76"/>
    <w:lvl w:ilvl="0" w:tplc="FFFFFFFF">
      <w:start w:val="1"/>
      <w:numFmt w:val="lowerLetter"/>
      <w:lvlText w:val="%1)"/>
      <w:lvlJc w:val="left"/>
      <w:pPr>
        <w:ind w:left="105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39" w15:restartNumberingAfterBreak="0">
    <w:nsid w:val="504B00EB"/>
    <w:multiLevelType w:val="hybridMultilevel"/>
    <w:tmpl w:val="0E52C9E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84C2B1E"/>
    <w:multiLevelType w:val="hybridMultilevel"/>
    <w:tmpl w:val="A018664E"/>
    <w:lvl w:ilvl="0" w:tplc="4F668960">
      <w:start w:val="14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5D1C50B1"/>
    <w:multiLevelType w:val="hybridMultilevel"/>
    <w:tmpl w:val="EF982128"/>
    <w:lvl w:ilvl="0" w:tplc="E41202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E4C9C72" w:tentative="1">
      <w:start w:val="1"/>
      <w:numFmt w:val="lowerLetter"/>
      <w:lvlText w:val="%2."/>
      <w:lvlJc w:val="left"/>
      <w:pPr>
        <w:ind w:left="1080" w:hanging="360"/>
      </w:pPr>
    </w:lvl>
    <w:lvl w:ilvl="2" w:tplc="3B22D35E" w:tentative="1">
      <w:start w:val="1"/>
      <w:numFmt w:val="lowerRoman"/>
      <w:lvlText w:val="%3."/>
      <w:lvlJc w:val="right"/>
      <w:pPr>
        <w:ind w:left="1800" w:hanging="180"/>
      </w:pPr>
    </w:lvl>
    <w:lvl w:ilvl="3" w:tplc="3B98A186" w:tentative="1">
      <w:start w:val="1"/>
      <w:numFmt w:val="decimal"/>
      <w:lvlText w:val="%4."/>
      <w:lvlJc w:val="left"/>
      <w:pPr>
        <w:ind w:left="2520" w:hanging="360"/>
      </w:pPr>
    </w:lvl>
    <w:lvl w:ilvl="4" w:tplc="109CA5C8" w:tentative="1">
      <w:start w:val="1"/>
      <w:numFmt w:val="lowerLetter"/>
      <w:lvlText w:val="%5."/>
      <w:lvlJc w:val="left"/>
      <w:pPr>
        <w:ind w:left="3240" w:hanging="360"/>
      </w:pPr>
    </w:lvl>
    <w:lvl w:ilvl="5" w:tplc="904C60EC" w:tentative="1">
      <w:start w:val="1"/>
      <w:numFmt w:val="lowerRoman"/>
      <w:lvlText w:val="%6."/>
      <w:lvlJc w:val="right"/>
      <w:pPr>
        <w:ind w:left="3960" w:hanging="180"/>
      </w:pPr>
    </w:lvl>
    <w:lvl w:ilvl="6" w:tplc="AAF611B6" w:tentative="1">
      <w:start w:val="1"/>
      <w:numFmt w:val="decimal"/>
      <w:lvlText w:val="%7."/>
      <w:lvlJc w:val="left"/>
      <w:pPr>
        <w:ind w:left="4680" w:hanging="360"/>
      </w:pPr>
    </w:lvl>
    <w:lvl w:ilvl="7" w:tplc="B38C9FF4" w:tentative="1">
      <w:start w:val="1"/>
      <w:numFmt w:val="lowerLetter"/>
      <w:lvlText w:val="%8."/>
      <w:lvlJc w:val="left"/>
      <w:pPr>
        <w:ind w:left="5400" w:hanging="360"/>
      </w:pPr>
    </w:lvl>
    <w:lvl w:ilvl="8" w:tplc="C3DC74C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EC90BE5"/>
    <w:multiLevelType w:val="hybridMultilevel"/>
    <w:tmpl w:val="97E248E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F033D05"/>
    <w:multiLevelType w:val="hybridMultilevel"/>
    <w:tmpl w:val="2708D49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60F90E6C"/>
    <w:multiLevelType w:val="hybridMultilevel"/>
    <w:tmpl w:val="71F64CC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148409A"/>
    <w:multiLevelType w:val="hybridMultilevel"/>
    <w:tmpl w:val="28DE2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E72671"/>
    <w:multiLevelType w:val="hybridMultilevel"/>
    <w:tmpl w:val="9772941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3BD02DB"/>
    <w:multiLevelType w:val="hybridMultilevel"/>
    <w:tmpl w:val="54944A5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55B144E"/>
    <w:multiLevelType w:val="hybridMultilevel"/>
    <w:tmpl w:val="6AC44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5C61894"/>
    <w:multiLevelType w:val="hybridMultilevel"/>
    <w:tmpl w:val="0BECA26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6B4531"/>
    <w:multiLevelType w:val="hybridMultilevel"/>
    <w:tmpl w:val="B54E29EE"/>
    <w:lvl w:ilvl="0" w:tplc="D4CE60E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264" w:hanging="36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6BB133B2"/>
    <w:multiLevelType w:val="hybridMultilevel"/>
    <w:tmpl w:val="79506EA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>
      <w:start w:val="1"/>
      <w:numFmt w:val="lowerRoman"/>
      <w:lvlText w:val="%3."/>
      <w:lvlJc w:val="right"/>
      <w:pPr>
        <w:ind w:left="2727" w:hanging="180"/>
      </w:pPr>
    </w:lvl>
    <w:lvl w:ilvl="3" w:tplc="FFFFFFFF">
      <w:start w:val="1"/>
      <w:numFmt w:val="decimal"/>
      <w:lvlText w:val="%4."/>
      <w:lvlJc w:val="left"/>
      <w:pPr>
        <w:ind w:left="3447" w:hanging="360"/>
      </w:pPr>
    </w:lvl>
    <w:lvl w:ilvl="4" w:tplc="FFFFFFFF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FFFFFFFF">
      <w:start w:val="1"/>
      <w:numFmt w:val="decimal"/>
      <w:lvlText w:val="%7."/>
      <w:lvlJc w:val="left"/>
      <w:pPr>
        <w:ind w:left="5607" w:hanging="360"/>
      </w:pPr>
    </w:lvl>
    <w:lvl w:ilvl="7" w:tplc="FFFFFFFF">
      <w:start w:val="1"/>
      <w:numFmt w:val="lowerLetter"/>
      <w:lvlText w:val="%8."/>
      <w:lvlJc w:val="left"/>
      <w:pPr>
        <w:ind w:left="6327" w:hanging="360"/>
      </w:pPr>
    </w:lvl>
    <w:lvl w:ilvl="8" w:tplc="FFFFFFFF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6D3C5705"/>
    <w:multiLevelType w:val="hybridMultilevel"/>
    <w:tmpl w:val="BF4AED38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4442CED"/>
    <w:multiLevelType w:val="hybridMultilevel"/>
    <w:tmpl w:val="EF982128"/>
    <w:lvl w:ilvl="0" w:tplc="0A300D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9869A3C" w:tentative="1">
      <w:start w:val="1"/>
      <w:numFmt w:val="lowerLetter"/>
      <w:lvlText w:val="%2."/>
      <w:lvlJc w:val="left"/>
      <w:pPr>
        <w:ind w:left="1080" w:hanging="360"/>
      </w:pPr>
    </w:lvl>
    <w:lvl w:ilvl="2" w:tplc="93886920" w:tentative="1">
      <w:start w:val="1"/>
      <w:numFmt w:val="lowerRoman"/>
      <w:lvlText w:val="%3."/>
      <w:lvlJc w:val="right"/>
      <w:pPr>
        <w:ind w:left="1800" w:hanging="180"/>
      </w:pPr>
    </w:lvl>
    <w:lvl w:ilvl="3" w:tplc="78FA69B4" w:tentative="1">
      <w:start w:val="1"/>
      <w:numFmt w:val="decimal"/>
      <w:lvlText w:val="%4."/>
      <w:lvlJc w:val="left"/>
      <w:pPr>
        <w:ind w:left="2520" w:hanging="360"/>
      </w:pPr>
    </w:lvl>
    <w:lvl w:ilvl="4" w:tplc="A1B893C8" w:tentative="1">
      <w:start w:val="1"/>
      <w:numFmt w:val="lowerLetter"/>
      <w:lvlText w:val="%5."/>
      <w:lvlJc w:val="left"/>
      <w:pPr>
        <w:ind w:left="3240" w:hanging="360"/>
      </w:pPr>
    </w:lvl>
    <w:lvl w:ilvl="5" w:tplc="C77A2B78" w:tentative="1">
      <w:start w:val="1"/>
      <w:numFmt w:val="lowerRoman"/>
      <w:lvlText w:val="%6."/>
      <w:lvlJc w:val="right"/>
      <w:pPr>
        <w:ind w:left="3960" w:hanging="180"/>
      </w:pPr>
    </w:lvl>
    <w:lvl w:ilvl="6" w:tplc="DDF6DEBC" w:tentative="1">
      <w:start w:val="1"/>
      <w:numFmt w:val="decimal"/>
      <w:lvlText w:val="%7."/>
      <w:lvlJc w:val="left"/>
      <w:pPr>
        <w:ind w:left="4680" w:hanging="360"/>
      </w:pPr>
    </w:lvl>
    <w:lvl w:ilvl="7" w:tplc="8A3A482E" w:tentative="1">
      <w:start w:val="1"/>
      <w:numFmt w:val="lowerLetter"/>
      <w:lvlText w:val="%8."/>
      <w:lvlJc w:val="left"/>
      <w:pPr>
        <w:ind w:left="5400" w:hanging="360"/>
      </w:pPr>
    </w:lvl>
    <w:lvl w:ilvl="8" w:tplc="979E35A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4B75569"/>
    <w:multiLevelType w:val="hybridMultilevel"/>
    <w:tmpl w:val="DC5AE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73332C2"/>
    <w:multiLevelType w:val="hybridMultilevel"/>
    <w:tmpl w:val="0812E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3F78F7"/>
    <w:multiLevelType w:val="hybridMultilevel"/>
    <w:tmpl w:val="617C65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781C0AAE"/>
    <w:multiLevelType w:val="hybridMultilevel"/>
    <w:tmpl w:val="E2E2BBA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0" w15:restartNumberingAfterBreak="0">
    <w:nsid w:val="7A351954"/>
    <w:multiLevelType w:val="hybridMultilevel"/>
    <w:tmpl w:val="521A04E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1" w15:restartNumberingAfterBreak="0">
    <w:nsid w:val="7B2A3A43"/>
    <w:multiLevelType w:val="hybridMultilevel"/>
    <w:tmpl w:val="4C468520"/>
    <w:lvl w:ilvl="0" w:tplc="56FC969C">
      <w:start w:val="1"/>
      <w:numFmt w:val="lowerLetter"/>
      <w:lvlText w:val="%1."/>
      <w:lvlJc w:val="left"/>
      <w:pPr>
        <w:ind w:left="720" w:hanging="360"/>
      </w:pPr>
    </w:lvl>
    <w:lvl w:ilvl="1" w:tplc="540A70B4">
      <w:start w:val="1"/>
      <w:numFmt w:val="lowerLetter"/>
      <w:lvlText w:val="%2."/>
      <w:lvlJc w:val="left"/>
      <w:pPr>
        <w:ind w:left="1440" w:hanging="360"/>
      </w:pPr>
    </w:lvl>
    <w:lvl w:ilvl="2" w:tplc="23DC1C66" w:tentative="1">
      <w:start w:val="1"/>
      <w:numFmt w:val="lowerRoman"/>
      <w:lvlText w:val="%3."/>
      <w:lvlJc w:val="right"/>
      <w:pPr>
        <w:ind w:left="2160" w:hanging="180"/>
      </w:pPr>
    </w:lvl>
    <w:lvl w:ilvl="3" w:tplc="D5E42568" w:tentative="1">
      <w:start w:val="1"/>
      <w:numFmt w:val="decimal"/>
      <w:lvlText w:val="%4."/>
      <w:lvlJc w:val="left"/>
      <w:pPr>
        <w:ind w:left="2880" w:hanging="360"/>
      </w:pPr>
    </w:lvl>
    <w:lvl w:ilvl="4" w:tplc="5454AF88" w:tentative="1">
      <w:start w:val="1"/>
      <w:numFmt w:val="lowerLetter"/>
      <w:lvlText w:val="%5."/>
      <w:lvlJc w:val="left"/>
      <w:pPr>
        <w:ind w:left="3600" w:hanging="360"/>
      </w:pPr>
    </w:lvl>
    <w:lvl w:ilvl="5" w:tplc="9EC8F50A" w:tentative="1">
      <w:start w:val="1"/>
      <w:numFmt w:val="lowerRoman"/>
      <w:lvlText w:val="%6."/>
      <w:lvlJc w:val="right"/>
      <w:pPr>
        <w:ind w:left="4320" w:hanging="180"/>
      </w:pPr>
    </w:lvl>
    <w:lvl w:ilvl="6" w:tplc="0046F9E4" w:tentative="1">
      <w:start w:val="1"/>
      <w:numFmt w:val="decimal"/>
      <w:lvlText w:val="%7."/>
      <w:lvlJc w:val="left"/>
      <w:pPr>
        <w:ind w:left="5040" w:hanging="360"/>
      </w:pPr>
    </w:lvl>
    <w:lvl w:ilvl="7" w:tplc="47F60396" w:tentative="1">
      <w:start w:val="1"/>
      <w:numFmt w:val="lowerLetter"/>
      <w:lvlText w:val="%8."/>
      <w:lvlJc w:val="left"/>
      <w:pPr>
        <w:ind w:left="5760" w:hanging="360"/>
      </w:pPr>
    </w:lvl>
    <w:lvl w:ilvl="8" w:tplc="F4309D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C0F2F57"/>
    <w:multiLevelType w:val="hybridMultilevel"/>
    <w:tmpl w:val="6FA20312"/>
    <w:lvl w:ilvl="0" w:tplc="4DBC9E9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C3A001E"/>
    <w:multiLevelType w:val="hybridMultilevel"/>
    <w:tmpl w:val="FDAC3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CEB05E7"/>
    <w:multiLevelType w:val="hybridMultilevel"/>
    <w:tmpl w:val="4306A6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5" w15:restartNumberingAfterBreak="0">
    <w:nsid w:val="7FE7166D"/>
    <w:multiLevelType w:val="hybridMultilevel"/>
    <w:tmpl w:val="28C8D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274824">
    <w:abstractNumId w:val="16"/>
  </w:num>
  <w:num w:numId="2" w16cid:durableId="11810681">
    <w:abstractNumId w:val="22"/>
  </w:num>
  <w:num w:numId="3" w16cid:durableId="1229266169">
    <w:abstractNumId w:val="65"/>
  </w:num>
  <w:num w:numId="4" w16cid:durableId="1648975001">
    <w:abstractNumId w:val="1"/>
  </w:num>
  <w:num w:numId="5" w16cid:durableId="968360895">
    <w:abstractNumId w:val="56"/>
  </w:num>
  <w:num w:numId="6" w16cid:durableId="625088837">
    <w:abstractNumId w:val="49"/>
  </w:num>
  <w:num w:numId="7" w16cid:durableId="1957364595">
    <w:abstractNumId w:val="23"/>
  </w:num>
  <w:num w:numId="8" w16cid:durableId="1082602883">
    <w:abstractNumId w:val="15"/>
  </w:num>
  <w:num w:numId="9" w16cid:durableId="1052195420">
    <w:abstractNumId w:val="3"/>
  </w:num>
  <w:num w:numId="10" w16cid:durableId="609749232">
    <w:abstractNumId w:val="35"/>
  </w:num>
  <w:num w:numId="11" w16cid:durableId="1049376101">
    <w:abstractNumId w:val="6"/>
  </w:num>
  <w:num w:numId="12" w16cid:durableId="495345094">
    <w:abstractNumId w:val="18"/>
  </w:num>
  <w:num w:numId="13" w16cid:durableId="1785226045">
    <w:abstractNumId w:val="51"/>
  </w:num>
  <w:num w:numId="14" w16cid:durableId="1123117052">
    <w:abstractNumId w:val="64"/>
  </w:num>
  <w:num w:numId="15" w16cid:durableId="170216668">
    <w:abstractNumId w:val="19"/>
  </w:num>
  <w:num w:numId="16" w16cid:durableId="1978946730">
    <w:abstractNumId w:val="7"/>
  </w:num>
  <w:num w:numId="17" w16cid:durableId="659652192">
    <w:abstractNumId w:val="57"/>
  </w:num>
  <w:num w:numId="18" w16cid:durableId="1216307654">
    <w:abstractNumId w:val="27"/>
  </w:num>
  <w:num w:numId="19" w16cid:durableId="72168730">
    <w:abstractNumId w:val="33"/>
  </w:num>
  <w:num w:numId="20" w16cid:durableId="1578127007">
    <w:abstractNumId w:val="54"/>
  </w:num>
  <w:num w:numId="21" w16cid:durableId="403336162">
    <w:abstractNumId w:val="40"/>
  </w:num>
  <w:num w:numId="22" w16cid:durableId="983779883">
    <w:abstractNumId w:val="2"/>
  </w:num>
  <w:num w:numId="23" w16cid:durableId="314994915">
    <w:abstractNumId w:val="25"/>
  </w:num>
  <w:num w:numId="24" w16cid:durableId="1469662560">
    <w:abstractNumId w:val="17"/>
  </w:num>
  <w:num w:numId="25" w16cid:durableId="1688216630">
    <w:abstractNumId w:val="36"/>
  </w:num>
  <w:num w:numId="26" w16cid:durableId="828719042">
    <w:abstractNumId w:val="37"/>
  </w:num>
  <w:num w:numId="27" w16cid:durableId="705981018">
    <w:abstractNumId w:val="58"/>
  </w:num>
  <w:num w:numId="28" w16cid:durableId="358317836">
    <w:abstractNumId w:val="39"/>
  </w:num>
  <w:num w:numId="29" w16cid:durableId="129327923">
    <w:abstractNumId w:val="53"/>
  </w:num>
  <w:num w:numId="30" w16cid:durableId="1996566389">
    <w:abstractNumId w:val="24"/>
  </w:num>
  <w:num w:numId="31" w16cid:durableId="339704923">
    <w:abstractNumId w:val="41"/>
  </w:num>
  <w:num w:numId="32" w16cid:durableId="79569669">
    <w:abstractNumId w:val="50"/>
  </w:num>
  <w:num w:numId="33" w16cid:durableId="66920217">
    <w:abstractNumId w:val="45"/>
  </w:num>
  <w:num w:numId="34" w16cid:durableId="1726174870">
    <w:abstractNumId w:val="63"/>
  </w:num>
  <w:num w:numId="35" w16cid:durableId="2034839177">
    <w:abstractNumId w:val="59"/>
  </w:num>
  <w:num w:numId="36" w16cid:durableId="719666721">
    <w:abstractNumId w:val="48"/>
  </w:num>
  <w:num w:numId="37" w16cid:durableId="564417441">
    <w:abstractNumId w:val="44"/>
  </w:num>
  <w:num w:numId="38" w16cid:durableId="135147650">
    <w:abstractNumId w:val="20"/>
  </w:num>
  <w:num w:numId="39" w16cid:durableId="1069770638">
    <w:abstractNumId w:val="21"/>
  </w:num>
  <w:num w:numId="40" w16cid:durableId="919407329">
    <w:abstractNumId w:val="11"/>
  </w:num>
  <w:num w:numId="41" w16cid:durableId="734744532">
    <w:abstractNumId w:val="38"/>
  </w:num>
  <w:num w:numId="42" w16cid:durableId="498618492">
    <w:abstractNumId w:val="8"/>
  </w:num>
  <w:num w:numId="43" w16cid:durableId="1922837340">
    <w:abstractNumId w:val="13"/>
  </w:num>
  <w:num w:numId="44" w16cid:durableId="2082822460">
    <w:abstractNumId w:val="62"/>
  </w:num>
  <w:num w:numId="45" w16cid:durableId="19479045">
    <w:abstractNumId w:val="28"/>
  </w:num>
  <w:num w:numId="46" w16cid:durableId="1852261375">
    <w:abstractNumId w:val="5"/>
  </w:num>
  <w:num w:numId="47" w16cid:durableId="1356268869">
    <w:abstractNumId w:val="26"/>
  </w:num>
  <w:num w:numId="48" w16cid:durableId="646470338">
    <w:abstractNumId w:val="29"/>
  </w:num>
  <w:num w:numId="49" w16cid:durableId="2008441006">
    <w:abstractNumId w:val="52"/>
  </w:num>
  <w:num w:numId="50" w16cid:durableId="2087191921">
    <w:abstractNumId w:val="32"/>
  </w:num>
  <w:num w:numId="51" w16cid:durableId="1122531591">
    <w:abstractNumId w:val="30"/>
  </w:num>
  <w:num w:numId="52" w16cid:durableId="1106467871">
    <w:abstractNumId w:val="31"/>
  </w:num>
  <w:num w:numId="53" w16cid:durableId="1923681241">
    <w:abstractNumId w:val="60"/>
  </w:num>
  <w:num w:numId="54" w16cid:durableId="1793939063">
    <w:abstractNumId w:val="47"/>
  </w:num>
  <w:num w:numId="55" w16cid:durableId="1261596407">
    <w:abstractNumId w:val="10"/>
  </w:num>
  <w:num w:numId="56" w16cid:durableId="1624190419">
    <w:abstractNumId w:val="14"/>
  </w:num>
  <w:num w:numId="57" w16cid:durableId="216745880">
    <w:abstractNumId w:val="43"/>
  </w:num>
  <w:num w:numId="58" w16cid:durableId="646282148">
    <w:abstractNumId w:val="46"/>
  </w:num>
  <w:num w:numId="59" w16cid:durableId="329874879">
    <w:abstractNumId w:val="0"/>
  </w:num>
  <w:num w:numId="60" w16cid:durableId="1529291115">
    <w:abstractNumId w:val="9"/>
  </w:num>
  <w:num w:numId="61" w16cid:durableId="173689052">
    <w:abstractNumId w:val="12"/>
  </w:num>
  <w:num w:numId="62" w16cid:durableId="210578095">
    <w:abstractNumId w:val="4"/>
  </w:num>
  <w:num w:numId="63" w16cid:durableId="384183718">
    <w:abstractNumId w:val="55"/>
  </w:num>
  <w:num w:numId="64" w16cid:durableId="381950496">
    <w:abstractNumId w:val="34"/>
  </w:num>
  <w:num w:numId="65" w16cid:durableId="1099445456">
    <w:abstractNumId w:val="42"/>
  </w:num>
  <w:num w:numId="66" w16cid:durableId="980042103">
    <w:abstractNumId w:val="6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B3"/>
    <w:rsid w:val="0000120C"/>
    <w:rsid w:val="000016FD"/>
    <w:rsid w:val="00002F91"/>
    <w:rsid w:val="00004472"/>
    <w:rsid w:val="000050A2"/>
    <w:rsid w:val="00014CBA"/>
    <w:rsid w:val="000154DE"/>
    <w:rsid w:val="00025320"/>
    <w:rsid w:val="00025385"/>
    <w:rsid w:val="000331E9"/>
    <w:rsid w:val="00034F0B"/>
    <w:rsid w:val="00053BDC"/>
    <w:rsid w:val="00054AAE"/>
    <w:rsid w:val="00054AFF"/>
    <w:rsid w:val="00054B07"/>
    <w:rsid w:val="00061FD0"/>
    <w:rsid w:val="00063FCC"/>
    <w:rsid w:val="00064BEA"/>
    <w:rsid w:val="00066B31"/>
    <w:rsid w:val="000905A0"/>
    <w:rsid w:val="0009374E"/>
    <w:rsid w:val="000A0EA2"/>
    <w:rsid w:val="000A24AE"/>
    <w:rsid w:val="000A432E"/>
    <w:rsid w:val="000B0A7B"/>
    <w:rsid w:val="000B1585"/>
    <w:rsid w:val="000B2F00"/>
    <w:rsid w:val="000C2A94"/>
    <w:rsid w:val="000C72B2"/>
    <w:rsid w:val="000D603B"/>
    <w:rsid w:val="000D7B30"/>
    <w:rsid w:val="000E3228"/>
    <w:rsid w:val="000E4571"/>
    <w:rsid w:val="000E465B"/>
    <w:rsid w:val="000E4F0D"/>
    <w:rsid w:val="000E63C2"/>
    <w:rsid w:val="000E7722"/>
    <w:rsid w:val="000F40E1"/>
    <w:rsid w:val="001004DD"/>
    <w:rsid w:val="001049EC"/>
    <w:rsid w:val="00104DDF"/>
    <w:rsid w:val="001052F8"/>
    <w:rsid w:val="00106E89"/>
    <w:rsid w:val="001113EA"/>
    <w:rsid w:val="00116E2A"/>
    <w:rsid w:val="00117BF1"/>
    <w:rsid w:val="00122C8E"/>
    <w:rsid w:val="001257F9"/>
    <w:rsid w:val="001273D9"/>
    <w:rsid w:val="001311AA"/>
    <w:rsid w:val="00132728"/>
    <w:rsid w:val="001347AE"/>
    <w:rsid w:val="00152D1D"/>
    <w:rsid w:val="0015471B"/>
    <w:rsid w:val="00160C00"/>
    <w:rsid w:val="0016353B"/>
    <w:rsid w:val="00170206"/>
    <w:rsid w:val="00173023"/>
    <w:rsid w:val="00176CB4"/>
    <w:rsid w:val="00182AC9"/>
    <w:rsid w:val="0019110E"/>
    <w:rsid w:val="001958D4"/>
    <w:rsid w:val="001A5035"/>
    <w:rsid w:val="001B273C"/>
    <w:rsid w:val="001C657B"/>
    <w:rsid w:val="001D366D"/>
    <w:rsid w:val="001D6A5C"/>
    <w:rsid w:val="001E7664"/>
    <w:rsid w:val="001F4939"/>
    <w:rsid w:val="0020207F"/>
    <w:rsid w:val="00205AF4"/>
    <w:rsid w:val="00206993"/>
    <w:rsid w:val="002074B5"/>
    <w:rsid w:val="00213792"/>
    <w:rsid w:val="00216CD7"/>
    <w:rsid w:val="002247C7"/>
    <w:rsid w:val="002254D9"/>
    <w:rsid w:val="002279E5"/>
    <w:rsid w:val="00237661"/>
    <w:rsid w:val="002448E5"/>
    <w:rsid w:val="00255A90"/>
    <w:rsid w:val="00260EB9"/>
    <w:rsid w:val="00262099"/>
    <w:rsid w:val="002624B1"/>
    <w:rsid w:val="00262DEC"/>
    <w:rsid w:val="00272D2A"/>
    <w:rsid w:val="00276A34"/>
    <w:rsid w:val="00277D09"/>
    <w:rsid w:val="0028312B"/>
    <w:rsid w:val="00283ADE"/>
    <w:rsid w:val="00283F58"/>
    <w:rsid w:val="002849C2"/>
    <w:rsid w:val="00292189"/>
    <w:rsid w:val="0029414C"/>
    <w:rsid w:val="002B46DC"/>
    <w:rsid w:val="002B52F1"/>
    <w:rsid w:val="002C1779"/>
    <w:rsid w:val="002C1DC4"/>
    <w:rsid w:val="002C3F9D"/>
    <w:rsid w:val="002D441E"/>
    <w:rsid w:val="002E08D2"/>
    <w:rsid w:val="002E2C09"/>
    <w:rsid w:val="002F17C8"/>
    <w:rsid w:val="002F2996"/>
    <w:rsid w:val="002F7FB8"/>
    <w:rsid w:val="00307A4E"/>
    <w:rsid w:val="00311D1C"/>
    <w:rsid w:val="00324DCE"/>
    <w:rsid w:val="00334955"/>
    <w:rsid w:val="003354DF"/>
    <w:rsid w:val="003367A9"/>
    <w:rsid w:val="003437D6"/>
    <w:rsid w:val="00344E81"/>
    <w:rsid w:val="00345392"/>
    <w:rsid w:val="00351443"/>
    <w:rsid w:val="003523C5"/>
    <w:rsid w:val="00354321"/>
    <w:rsid w:val="00356344"/>
    <w:rsid w:val="00356D4D"/>
    <w:rsid w:val="00356F69"/>
    <w:rsid w:val="00373538"/>
    <w:rsid w:val="00374FE2"/>
    <w:rsid w:val="0039341D"/>
    <w:rsid w:val="003A0E00"/>
    <w:rsid w:val="003A52FB"/>
    <w:rsid w:val="003A7B28"/>
    <w:rsid w:val="003B1027"/>
    <w:rsid w:val="003B3EFB"/>
    <w:rsid w:val="003B45F9"/>
    <w:rsid w:val="003D10C1"/>
    <w:rsid w:val="003D1340"/>
    <w:rsid w:val="003D6CD8"/>
    <w:rsid w:val="003D7856"/>
    <w:rsid w:val="003E1272"/>
    <w:rsid w:val="003E3650"/>
    <w:rsid w:val="003E45A8"/>
    <w:rsid w:val="003F0558"/>
    <w:rsid w:val="003F174A"/>
    <w:rsid w:val="003F5B5E"/>
    <w:rsid w:val="00401FC8"/>
    <w:rsid w:val="00406637"/>
    <w:rsid w:val="0040736E"/>
    <w:rsid w:val="0041101C"/>
    <w:rsid w:val="004261CE"/>
    <w:rsid w:val="00432D1B"/>
    <w:rsid w:val="0043438C"/>
    <w:rsid w:val="00435510"/>
    <w:rsid w:val="00440182"/>
    <w:rsid w:val="0044324F"/>
    <w:rsid w:val="00444935"/>
    <w:rsid w:val="00446DFE"/>
    <w:rsid w:val="004531E9"/>
    <w:rsid w:val="00454A4A"/>
    <w:rsid w:val="00454EC5"/>
    <w:rsid w:val="00455BEE"/>
    <w:rsid w:val="00457E16"/>
    <w:rsid w:val="00460E21"/>
    <w:rsid w:val="00461BB3"/>
    <w:rsid w:val="004627FA"/>
    <w:rsid w:val="0046511A"/>
    <w:rsid w:val="004677AC"/>
    <w:rsid w:val="00467CCD"/>
    <w:rsid w:val="004722A5"/>
    <w:rsid w:val="00473A9C"/>
    <w:rsid w:val="00474714"/>
    <w:rsid w:val="00476A08"/>
    <w:rsid w:val="00476CAA"/>
    <w:rsid w:val="0047770F"/>
    <w:rsid w:val="00480828"/>
    <w:rsid w:val="004810F5"/>
    <w:rsid w:val="004818EF"/>
    <w:rsid w:val="004933A0"/>
    <w:rsid w:val="004944BF"/>
    <w:rsid w:val="00495899"/>
    <w:rsid w:val="00495966"/>
    <w:rsid w:val="004A239F"/>
    <w:rsid w:val="004A4E90"/>
    <w:rsid w:val="004A6505"/>
    <w:rsid w:val="004B007D"/>
    <w:rsid w:val="004B0A9D"/>
    <w:rsid w:val="004B2B5F"/>
    <w:rsid w:val="004B2E89"/>
    <w:rsid w:val="004C1396"/>
    <w:rsid w:val="004C3276"/>
    <w:rsid w:val="004C7740"/>
    <w:rsid w:val="004D69C6"/>
    <w:rsid w:val="004E7F25"/>
    <w:rsid w:val="004F326A"/>
    <w:rsid w:val="004F64A7"/>
    <w:rsid w:val="00505526"/>
    <w:rsid w:val="0051229F"/>
    <w:rsid w:val="00516EF7"/>
    <w:rsid w:val="00517FAA"/>
    <w:rsid w:val="00520891"/>
    <w:rsid w:val="00520A6C"/>
    <w:rsid w:val="00526DFA"/>
    <w:rsid w:val="005343A3"/>
    <w:rsid w:val="0053462A"/>
    <w:rsid w:val="00534715"/>
    <w:rsid w:val="00534FAA"/>
    <w:rsid w:val="0053695F"/>
    <w:rsid w:val="0054673B"/>
    <w:rsid w:val="005478F8"/>
    <w:rsid w:val="00550B00"/>
    <w:rsid w:val="0055629E"/>
    <w:rsid w:val="005635CA"/>
    <w:rsid w:val="005645E6"/>
    <w:rsid w:val="00567F1B"/>
    <w:rsid w:val="00572393"/>
    <w:rsid w:val="00574D59"/>
    <w:rsid w:val="00575D9C"/>
    <w:rsid w:val="0058119B"/>
    <w:rsid w:val="00583739"/>
    <w:rsid w:val="00583997"/>
    <w:rsid w:val="00585431"/>
    <w:rsid w:val="005A029D"/>
    <w:rsid w:val="005A13EF"/>
    <w:rsid w:val="005A18C3"/>
    <w:rsid w:val="005A1DCC"/>
    <w:rsid w:val="005A4030"/>
    <w:rsid w:val="005A6B2A"/>
    <w:rsid w:val="005A77B7"/>
    <w:rsid w:val="005B1D1A"/>
    <w:rsid w:val="005B68A8"/>
    <w:rsid w:val="005C00D3"/>
    <w:rsid w:val="005C0F52"/>
    <w:rsid w:val="005D4BE7"/>
    <w:rsid w:val="005E092A"/>
    <w:rsid w:val="005F1985"/>
    <w:rsid w:val="005F692C"/>
    <w:rsid w:val="006139A5"/>
    <w:rsid w:val="00624370"/>
    <w:rsid w:val="00624B96"/>
    <w:rsid w:val="00625BD5"/>
    <w:rsid w:val="0062602B"/>
    <w:rsid w:val="006309AC"/>
    <w:rsid w:val="0065510F"/>
    <w:rsid w:val="00655E4C"/>
    <w:rsid w:val="006608CF"/>
    <w:rsid w:val="00665427"/>
    <w:rsid w:val="00666F2A"/>
    <w:rsid w:val="0066704E"/>
    <w:rsid w:val="00671239"/>
    <w:rsid w:val="0067439E"/>
    <w:rsid w:val="00677A14"/>
    <w:rsid w:val="00680633"/>
    <w:rsid w:val="00685D88"/>
    <w:rsid w:val="00693EAE"/>
    <w:rsid w:val="00697362"/>
    <w:rsid w:val="006A257B"/>
    <w:rsid w:val="006A421A"/>
    <w:rsid w:val="006B0DEE"/>
    <w:rsid w:val="006B27DF"/>
    <w:rsid w:val="006C7A1C"/>
    <w:rsid w:val="006D2F03"/>
    <w:rsid w:val="006D629F"/>
    <w:rsid w:val="006D643E"/>
    <w:rsid w:val="006E797B"/>
    <w:rsid w:val="006F2177"/>
    <w:rsid w:val="00700BDC"/>
    <w:rsid w:val="007012C1"/>
    <w:rsid w:val="00703381"/>
    <w:rsid w:val="00714E3D"/>
    <w:rsid w:val="0072009E"/>
    <w:rsid w:val="00721158"/>
    <w:rsid w:val="00722655"/>
    <w:rsid w:val="007228B3"/>
    <w:rsid w:val="00726F31"/>
    <w:rsid w:val="007276AE"/>
    <w:rsid w:val="0073521E"/>
    <w:rsid w:val="00736F6B"/>
    <w:rsid w:val="007409F1"/>
    <w:rsid w:val="00743F99"/>
    <w:rsid w:val="00755960"/>
    <w:rsid w:val="0075615B"/>
    <w:rsid w:val="00761736"/>
    <w:rsid w:val="007618DE"/>
    <w:rsid w:val="00761C89"/>
    <w:rsid w:val="007666D8"/>
    <w:rsid w:val="00771352"/>
    <w:rsid w:val="00773BEF"/>
    <w:rsid w:val="007A1FCB"/>
    <w:rsid w:val="007A3060"/>
    <w:rsid w:val="007B1E51"/>
    <w:rsid w:val="007B5177"/>
    <w:rsid w:val="007B7439"/>
    <w:rsid w:val="007C19B1"/>
    <w:rsid w:val="007C1D4D"/>
    <w:rsid w:val="007C28F7"/>
    <w:rsid w:val="007C4046"/>
    <w:rsid w:val="007C47F9"/>
    <w:rsid w:val="007C4BE1"/>
    <w:rsid w:val="007D251E"/>
    <w:rsid w:val="007D6FF8"/>
    <w:rsid w:val="007F51CD"/>
    <w:rsid w:val="008009FA"/>
    <w:rsid w:val="008027E8"/>
    <w:rsid w:val="00803F93"/>
    <w:rsid w:val="00804E31"/>
    <w:rsid w:val="00805D59"/>
    <w:rsid w:val="00805ED0"/>
    <w:rsid w:val="0081130C"/>
    <w:rsid w:val="008128AD"/>
    <w:rsid w:val="00815F6F"/>
    <w:rsid w:val="00817BEF"/>
    <w:rsid w:val="008258DE"/>
    <w:rsid w:val="00832EB6"/>
    <w:rsid w:val="008562D4"/>
    <w:rsid w:val="0085713D"/>
    <w:rsid w:val="00862C52"/>
    <w:rsid w:val="0086571A"/>
    <w:rsid w:val="00870FBE"/>
    <w:rsid w:val="008746EF"/>
    <w:rsid w:val="008777CD"/>
    <w:rsid w:val="008804CD"/>
    <w:rsid w:val="0088095E"/>
    <w:rsid w:val="00882C7D"/>
    <w:rsid w:val="00884586"/>
    <w:rsid w:val="008912FE"/>
    <w:rsid w:val="00897D8B"/>
    <w:rsid w:val="008A600F"/>
    <w:rsid w:val="008B3372"/>
    <w:rsid w:val="008B3937"/>
    <w:rsid w:val="008B5271"/>
    <w:rsid w:val="008C2FA1"/>
    <w:rsid w:val="008C5137"/>
    <w:rsid w:val="008C68DF"/>
    <w:rsid w:val="008D250C"/>
    <w:rsid w:val="008D3DA9"/>
    <w:rsid w:val="008E080F"/>
    <w:rsid w:val="008E3166"/>
    <w:rsid w:val="008E5D62"/>
    <w:rsid w:val="008E6653"/>
    <w:rsid w:val="008F5B25"/>
    <w:rsid w:val="008F66E0"/>
    <w:rsid w:val="00905E54"/>
    <w:rsid w:val="00906FF8"/>
    <w:rsid w:val="00910480"/>
    <w:rsid w:val="0091313C"/>
    <w:rsid w:val="00924FD2"/>
    <w:rsid w:val="00935555"/>
    <w:rsid w:val="00943EAB"/>
    <w:rsid w:val="00961346"/>
    <w:rsid w:val="00965099"/>
    <w:rsid w:val="009717FE"/>
    <w:rsid w:val="00996D5A"/>
    <w:rsid w:val="0099738F"/>
    <w:rsid w:val="009A2D43"/>
    <w:rsid w:val="009A3217"/>
    <w:rsid w:val="009A3C29"/>
    <w:rsid w:val="009A4EFB"/>
    <w:rsid w:val="009A6326"/>
    <w:rsid w:val="009B0893"/>
    <w:rsid w:val="009C36D2"/>
    <w:rsid w:val="009C46D0"/>
    <w:rsid w:val="009C7331"/>
    <w:rsid w:val="009C73D5"/>
    <w:rsid w:val="009D3E54"/>
    <w:rsid w:val="009D7C4E"/>
    <w:rsid w:val="009E02C2"/>
    <w:rsid w:val="009E150D"/>
    <w:rsid w:val="009F1A5C"/>
    <w:rsid w:val="00A03384"/>
    <w:rsid w:val="00A0362C"/>
    <w:rsid w:val="00A10319"/>
    <w:rsid w:val="00A14F91"/>
    <w:rsid w:val="00A223CA"/>
    <w:rsid w:val="00A23DBC"/>
    <w:rsid w:val="00A31650"/>
    <w:rsid w:val="00A41431"/>
    <w:rsid w:val="00A506CC"/>
    <w:rsid w:val="00A5201F"/>
    <w:rsid w:val="00A613F8"/>
    <w:rsid w:val="00A6424D"/>
    <w:rsid w:val="00A713D7"/>
    <w:rsid w:val="00A717C1"/>
    <w:rsid w:val="00A73D69"/>
    <w:rsid w:val="00A73EC7"/>
    <w:rsid w:val="00A74415"/>
    <w:rsid w:val="00A76367"/>
    <w:rsid w:val="00A778C4"/>
    <w:rsid w:val="00A80C8C"/>
    <w:rsid w:val="00A82B76"/>
    <w:rsid w:val="00A8547D"/>
    <w:rsid w:val="00A87A6F"/>
    <w:rsid w:val="00A87E99"/>
    <w:rsid w:val="00AA3562"/>
    <w:rsid w:val="00AA412E"/>
    <w:rsid w:val="00AA46D3"/>
    <w:rsid w:val="00AA4D61"/>
    <w:rsid w:val="00AA6629"/>
    <w:rsid w:val="00AB1B75"/>
    <w:rsid w:val="00AC2B89"/>
    <w:rsid w:val="00AD7741"/>
    <w:rsid w:val="00AD7FD2"/>
    <w:rsid w:val="00AE5030"/>
    <w:rsid w:val="00AE7D5A"/>
    <w:rsid w:val="00AF1764"/>
    <w:rsid w:val="00B03C14"/>
    <w:rsid w:val="00B054C5"/>
    <w:rsid w:val="00B174B4"/>
    <w:rsid w:val="00B26F2A"/>
    <w:rsid w:val="00B42E11"/>
    <w:rsid w:val="00B46B72"/>
    <w:rsid w:val="00B50410"/>
    <w:rsid w:val="00B510AD"/>
    <w:rsid w:val="00B52382"/>
    <w:rsid w:val="00B54F5C"/>
    <w:rsid w:val="00B571A8"/>
    <w:rsid w:val="00B574EF"/>
    <w:rsid w:val="00B653DE"/>
    <w:rsid w:val="00B769C9"/>
    <w:rsid w:val="00B80D6D"/>
    <w:rsid w:val="00B81C2D"/>
    <w:rsid w:val="00B841CE"/>
    <w:rsid w:val="00B85133"/>
    <w:rsid w:val="00B9000E"/>
    <w:rsid w:val="00B90D36"/>
    <w:rsid w:val="00BB68F1"/>
    <w:rsid w:val="00BB7906"/>
    <w:rsid w:val="00BC0CE5"/>
    <w:rsid w:val="00BC1376"/>
    <w:rsid w:val="00BD57CB"/>
    <w:rsid w:val="00BD5C0F"/>
    <w:rsid w:val="00BE374C"/>
    <w:rsid w:val="00C024B0"/>
    <w:rsid w:val="00C040EE"/>
    <w:rsid w:val="00C04F17"/>
    <w:rsid w:val="00C07D50"/>
    <w:rsid w:val="00C13962"/>
    <w:rsid w:val="00C1422E"/>
    <w:rsid w:val="00C164AD"/>
    <w:rsid w:val="00C1744B"/>
    <w:rsid w:val="00C23A81"/>
    <w:rsid w:val="00C25582"/>
    <w:rsid w:val="00C35293"/>
    <w:rsid w:val="00C43C60"/>
    <w:rsid w:val="00C45BE5"/>
    <w:rsid w:val="00C5771D"/>
    <w:rsid w:val="00C62FB9"/>
    <w:rsid w:val="00C6525E"/>
    <w:rsid w:val="00C67A5B"/>
    <w:rsid w:val="00C72077"/>
    <w:rsid w:val="00C754FA"/>
    <w:rsid w:val="00C777EC"/>
    <w:rsid w:val="00C81ECF"/>
    <w:rsid w:val="00C84270"/>
    <w:rsid w:val="00C97210"/>
    <w:rsid w:val="00C97AF3"/>
    <w:rsid w:val="00CA0FA4"/>
    <w:rsid w:val="00CA5C93"/>
    <w:rsid w:val="00CB2533"/>
    <w:rsid w:val="00CB27EB"/>
    <w:rsid w:val="00CC2B63"/>
    <w:rsid w:val="00CC6073"/>
    <w:rsid w:val="00CD4298"/>
    <w:rsid w:val="00CD45B3"/>
    <w:rsid w:val="00CD5311"/>
    <w:rsid w:val="00CE034D"/>
    <w:rsid w:val="00CE0887"/>
    <w:rsid w:val="00CF6C23"/>
    <w:rsid w:val="00CF79A2"/>
    <w:rsid w:val="00D06E12"/>
    <w:rsid w:val="00D13D36"/>
    <w:rsid w:val="00D21714"/>
    <w:rsid w:val="00D25B47"/>
    <w:rsid w:val="00D26AF2"/>
    <w:rsid w:val="00D315DD"/>
    <w:rsid w:val="00D41837"/>
    <w:rsid w:val="00D41FB7"/>
    <w:rsid w:val="00D42D24"/>
    <w:rsid w:val="00D42E22"/>
    <w:rsid w:val="00D44CE8"/>
    <w:rsid w:val="00D466F6"/>
    <w:rsid w:val="00D46D14"/>
    <w:rsid w:val="00D56B93"/>
    <w:rsid w:val="00D57A18"/>
    <w:rsid w:val="00D65661"/>
    <w:rsid w:val="00D65D21"/>
    <w:rsid w:val="00D8158C"/>
    <w:rsid w:val="00D86725"/>
    <w:rsid w:val="00D87E7B"/>
    <w:rsid w:val="00D9058D"/>
    <w:rsid w:val="00DA0D36"/>
    <w:rsid w:val="00DA1999"/>
    <w:rsid w:val="00DA334B"/>
    <w:rsid w:val="00DB62B9"/>
    <w:rsid w:val="00DB68EC"/>
    <w:rsid w:val="00DD20B0"/>
    <w:rsid w:val="00DE2C64"/>
    <w:rsid w:val="00DE5234"/>
    <w:rsid w:val="00DE609C"/>
    <w:rsid w:val="00DE6CD9"/>
    <w:rsid w:val="00DF3966"/>
    <w:rsid w:val="00E07E9C"/>
    <w:rsid w:val="00E107CC"/>
    <w:rsid w:val="00E1282A"/>
    <w:rsid w:val="00E13585"/>
    <w:rsid w:val="00E14E33"/>
    <w:rsid w:val="00E1662E"/>
    <w:rsid w:val="00E170DE"/>
    <w:rsid w:val="00E17B5A"/>
    <w:rsid w:val="00E21E62"/>
    <w:rsid w:val="00E3253B"/>
    <w:rsid w:val="00E3556B"/>
    <w:rsid w:val="00E42DDD"/>
    <w:rsid w:val="00E563C8"/>
    <w:rsid w:val="00E869C0"/>
    <w:rsid w:val="00E94AD6"/>
    <w:rsid w:val="00EA20AC"/>
    <w:rsid w:val="00EA5FF5"/>
    <w:rsid w:val="00EA7D51"/>
    <w:rsid w:val="00EB3D2D"/>
    <w:rsid w:val="00EB6057"/>
    <w:rsid w:val="00EC6409"/>
    <w:rsid w:val="00ED2AD0"/>
    <w:rsid w:val="00ED3DEF"/>
    <w:rsid w:val="00ED5327"/>
    <w:rsid w:val="00EE35CF"/>
    <w:rsid w:val="00EF6294"/>
    <w:rsid w:val="00F0005F"/>
    <w:rsid w:val="00F00DC3"/>
    <w:rsid w:val="00F05F39"/>
    <w:rsid w:val="00F07CA8"/>
    <w:rsid w:val="00F177CD"/>
    <w:rsid w:val="00F21BE8"/>
    <w:rsid w:val="00F25189"/>
    <w:rsid w:val="00F30514"/>
    <w:rsid w:val="00F33A04"/>
    <w:rsid w:val="00F3404F"/>
    <w:rsid w:val="00F37836"/>
    <w:rsid w:val="00F475D7"/>
    <w:rsid w:val="00F51903"/>
    <w:rsid w:val="00F574EB"/>
    <w:rsid w:val="00F64B3A"/>
    <w:rsid w:val="00F66A56"/>
    <w:rsid w:val="00F830B6"/>
    <w:rsid w:val="00F86A52"/>
    <w:rsid w:val="00F86C6D"/>
    <w:rsid w:val="00F91F78"/>
    <w:rsid w:val="00F9400A"/>
    <w:rsid w:val="00F94D68"/>
    <w:rsid w:val="00FA2711"/>
    <w:rsid w:val="00FA535A"/>
    <w:rsid w:val="00FB2D48"/>
    <w:rsid w:val="00FB4801"/>
    <w:rsid w:val="00FB4F72"/>
    <w:rsid w:val="00FB66DA"/>
    <w:rsid w:val="00FD1E5F"/>
    <w:rsid w:val="00FD496C"/>
    <w:rsid w:val="00FD5A47"/>
    <w:rsid w:val="00FE08D0"/>
    <w:rsid w:val="00FE128F"/>
    <w:rsid w:val="00FF020F"/>
    <w:rsid w:val="00FF326C"/>
    <w:rsid w:val="00FF4998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11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A8547D"/>
    <w:rPr>
      <w:sz w:val="22"/>
      <w:szCs w:val="22"/>
      <w:lang w:eastAsia="en-US"/>
    </w:rPr>
  </w:style>
  <w:style w:type="paragraph" w:customStyle="1" w:styleId="Standardowy1">
    <w:name w:val="Standardowy1"/>
    <w:rsid w:val="00A778C4"/>
    <w:pPr>
      <w:widowControl w:val="0"/>
    </w:pPr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6653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F21BE8"/>
  </w:style>
  <w:style w:type="character" w:customStyle="1" w:styleId="footnote">
    <w:name w:val="footnote"/>
    <w:basedOn w:val="Domylnaczcionkaakapitu"/>
    <w:rsid w:val="00F21BE8"/>
  </w:style>
  <w:style w:type="character" w:customStyle="1" w:styleId="normaltextrun">
    <w:name w:val="normaltextrun"/>
    <w:basedOn w:val="Domylnaczcionkaakapitu"/>
    <w:rsid w:val="00736F6B"/>
  </w:style>
  <w:style w:type="character" w:customStyle="1" w:styleId="ui-provider">
    <w:name w:val="ui-provider"/>
    <w:basedOn w:val="Domylnaczcionkaakapitu"/>
    <w:rsid w:val="00736F6B"/>
  </w:style>
  <w:style w:type="character" w:styleId="Pogrubienie">
    <w:name w:val="Strong"/>
    <w:basedOn w:val="Domylnaczcionkaakapitu"/>
    <w:uiPriority w:val="22"/>
    <w:qFormat/>
    <w:rsid w:val="00736F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55688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727189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2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984890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4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72635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70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539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FBF6-1743-4DAD-828F-1E473A31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1018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Łepkowska</dc:creator>
  <cp:keywords/>
  <cp:lastModifiedBy>Białas Aneta</cp:lastModifiedBy>
  <cp:revision>2</cp:revision>
  <dcterms:created xsi:type="dcterms:W3CDTF">2025-05-29T12:27:00Z</dcterms:created>
  <dcterms:modified xsi:type="dcterms:W3CDTF">2025-05-29T12:27:00Z</dcterms:modified>
</cp:coreProperties>
</file>